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Priti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~45 Cr micro-cap furniture &amp; handicraft exporter (wood/metal/textile, upcycled) - debt-free but with declining 5-year sales, ~7% ROE, falling promoter holding and a forum thread that has gone quiet since 2024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Priti International (Jodhpur-based) manufactures and exports wooden, metal and textile furniture and handicrafts, including upcycled/recycled products, with roughly 40% of revenue from exports. It has also attempted domestic institutional supply (airports, defence PSUs, offices, institutes) and some retail brand-building, though still largely centred on one city.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45.5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~9.1% / ~6.6% (3-yr ROE ~7.5%)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</w:t>
            </w:r>
          </w:p>
        </w:tc>
        <w:tc>
          <w:tcPr>
            <w:tcW w:type="dxa" w:w="5800"/>
          </w:tcPr>
          <w:p>
            <w:r>
              <w:t xml:space="preserve">-7% CAGR over the past five years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~0.00)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Holding has been drifting down (warrant conversions + public-float rise) - flagged by forum members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63 - 178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balance sheet is clean (near debt-free) but the operating record has deteriorated: five-year sales CAGR is negative, ROE is ~7%, and revenue has been volatile with a Red-Sea-crisis-driven export dip that management partly offset with margin gains in FY24. Trade receivables rose sharply over two years, promoter holding has drifted lower (warrant conversions raising ~Rs 13 Cr plus rising public float), and there is no visible growth catalyst. This is a sub-Rs 50 Cr micro-cap with thin disclosure and low liquidity.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very illiquid micro-cap, wide 52-week band (~Rs 63-178), stock well below its ~Rs 280 highs.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22-post thread that was active in early 2024 and has been essentially quiet since (only two low-content posts in 2026). The 2024 discussion covered the Red-Sea export dip with offsetting margin expansion, order deliveries to Hyderabad Airport and Bharat Dynamics (sivareplies, 8 loves, tracking delivery news off the company's Twitter), an 'underdog husband-and-wife promoter team' bull framing (Aloysius_De_Sa), and cautions on declining promoter holding (Karthick_S) and rising receivables (Deon610). No trusted-user participation. Prior thread read effectively stands - there is no new sentiment to synthesise.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None. No trusted-user activity; thread dormant since 2024.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Warrants issued at ~Rs 98 converted to equity (bringing in ~Rs 13 Cr); promoter holding has declined and public float risen. Trade receivables increased sharply across FY23-FY24 (raised as a concern in-thread).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sheet; tiny ~Rs 45 Cr market cap leaves room if a growth vertical takes 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franchise (~40% of revenue) plus an upcycling/recycling angle that fits ESG-conscious buyers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institutional traction (airport, defence-PSU, institute furniture orders in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expansion demonstrated during the FY24 export dip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sales CAGR is negative - the business is shrinking, not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~7% ROE / ~9% ROCE - sub-cost-of-capital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Declining promoter holding and sharply rising receivables in a sub-Rs 50 Cr micro-cap with thin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visible growth catalyst; forum interest has evaporated since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Commoditised, unbranded furniture/handicraft export - price-taker with FX and freight exposure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declining sales, sub-cost-of-capital returns, falling promoter holding and no catalyst; no credible path to a 10x or 100x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shrinking, low-return micro-cap furniture exporter with a dormant thread and no catalyst - thesis_fit neither,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Both the trailing record (negative 5-year sales CAGR, ~7% ROE) and the recent picture (quiet thread, declining promoter holding, rising receivables) are weak, with no offsetting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forum activity since 2024; prior VP thread read stands.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signal;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(debt-free, no SEBI action). thesis_fit neither; conviction Low. Not flagged for 30-day revisit.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2026-08-30T12:51:18.214Z</dcterms:created>
  <dcterms:modified xsi:type="dcterms:W3CDTF">2026-08-30T12:51:18.214Z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