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Pyramid Technoplast Ltd</w:t>
      </w:r>
    </w:p>
    <w:p>
      <w:pPr>
        <w:pBdr>
          <w:bottom w:val="single" w:color="CCCCCC" w:sz="6" w:space="8"/>
        </w:pBdr>
        <w:spacing w:after="200"/>
      </w:pPr>
      <w:r>
        <w:rPr>
          <w:i/>
          <w:iCs/>
          <w:color w:val="666666"/>
          <w:sz w:val="22"/>
          <w:szCs w:val="22"/>
        </w:rPr>
        <w:t xml:space="preserve">Moderate-return industrial-packaging maker (~11-15% growth, ROE ~11%) with a capacity-utilisation story but no real catalyst — VP thread dead since 2024, 'neither'</w:t>
      </w:r>
    </w:p>
    <w:p>
      <w:pPr>
        <w:pStyle w:val="Heading1"/>
        <w:spacing w:after="120" w:before="280"/>
      </w:pPr>
      <w:r>
        <w:t xml:space="preserve">Business Overview</w:t>
      </w:r>
    </w:p>
    <w:p>
      <w:pPr>
        <w:spacing w:after="120"/>
      </w:pPr>
      <w:r>
        <w:t xml:space="preserve">Pyramid Technoplast (incorporated 1997) manufactures HM-HDPE plastic containers, IBC (intermediate bulk) containers, drums, barrels and cans, serving chemical, agrochemical, specialty-chemical and pharmaceutical customers. ValuePickr thread has only 3 posts, all from February 2024 — effectively dead.</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647 Cr</w:t>
            </w:r>
          </w:p>
        </w:tc>
      </w:tr>
      <w:tr>
        <w:tc>
          <w:tcPr>
            <w:tcW w:type="dxa" w:w="3200"/>
            <w:shd w:fill="F2F2F2" w:val="clear"/>
          </w:tcPr>
          <w:p>
            <w:r>
              <w:rPr>
                <w:b/>
                <w:bCs/>
              </w:rPr>
              <w:t xml:space="preserve">ROE / ROCE</w:t>
            </w:r>
          </w:p>
        </w:tc>
        <w:tc>
          <w:tcPr>
            <w:tcW w:type="dxa" w:w="5800"/>
          </w:tcPr>
          <w:p>
            <w:r>
              <w:t xml:space="preserve">~10.7% / ~13.5% (moderate)</w:t>
            </w:r>
          </w:p>
        </w:tc>
      </w:tr>
      <w:tr>
        <w:tc>
          <w:tcPr>
            <w:tcW w:type="dxa" w:w="3200"/>
            <w:shd w:fill="F2F2F2" w:val="clear"/>
          </w:tcPr>
          <w:p>
            <w:r>
              <w:rPr>
                <w:b/>
                <w:bCs/>
              </w:rPr>
              <w:t xml:space="preserve">Revenue</w:t>
            </w:r>
          </w:p>
        </w:tc>
        <w:tc>
          <w:tcPr>
            <w:tcW w:type="dxa" w:w="5800"/>
          </w:tcPr>
          <w:p>
            <w:r>
              <w:t xml:space="preserve">~Rs 681 Cr; FY27 guidance ~15% revenue growth at ~11-12% EBITDA margin</w:t>
            </w:r>
          </w:p>
        </w:tc>
      </w:tr>
      <w:tr>
        <w:tc>
          <w:tcPr>
            <w:tcW w:type="dxa" w:w="3200"/>
            <w:shd w:fill="F2F2F2" w:val="clear"/>
          </w:tcPr>
          <w:p>
            <w:r>
              <w:rPr>
                <w:b/>
                <w:bCs/>
              </w:rPr>
              <w:t xml:space="preserve">Revenue growth</w:t>
            </w:r>
          </w:p>
        </w:tc>
        <w:tc>
          <w:tcPr>
            <w:tcW w:type="dxa" w:w="5800"/>
          </w:tcPr>
          <w:p>
            <w:r>
              <w:t xml:space="preserve">~11% annual</w:t>
            </w:r>
          </w:p>
        </w:tc>
      </w:tr>
      <w:tr>
        <w:tc>
          <w:tcPr>
            <w:tcW w:type="dxa" w:w="3200"/>
            <w:shd w:fill="F2F2F2" w:val="clear"/>
          </w:tcPr>
          <w:p>
            <w:r>
              <w:rPr>
                <w:b/>
                <w:bCs/>
              </w:rPr>
              <w:t xml:space="preserve">Debt/Equity</w:t>
            </w:r>
          </w:p>
        </w:tc>
        <w:tc>
          <w:tcPr>
            <w:tcW w:type="dxa" w:w="5800"/>
          </w:tcPr>
          <w:p>
            <w:r>
              <w:t xml:space="preserve">~11% (reasonable)</w:t>
            </w:r>
          </w:p>
        </w:tc>
      </w:tr>
      <w:tr>
        <w:tc>
          <w:tcPr>
            <w:tcW w:type="dxa" w:w="3200"/>
            <w:shd w:fill="F2F2F2" w:val="clear"/>
          </w:tcPr>
          <w:p>
            <w:r>
              <w:rPr>
                <w:b/>
                <w:bCs/>
              </w:rPr>
              <w:t xml:space="preserve">52-week range</w:t>
            </w:r>
          </w:p>
        </w:tc>
        <w:tc>
          <w:tcPr>
            <w:tcW w:type="dxa" w:w="5800"/>
          </w:tcPr>
          <w:p>
            <w:r>
              <w:t xml:space="preserve">Rs 131.8 - Rs 198.69</w:t>
            </w:r>
          </w:p>
        </w:tc>
      </w:tr>
    </w:tbl>
    <w:p>
      <w:pPr>
        <w:spacing w:after="100"/>
      </w:pPr>
    </w:p>
    <w:p>
      <w:pPr>
        <w:spacing w:after="120"/>
      </w:pPr>
      <w:r>
        <w:t xml:space="preserve">Returns are moderate (ROCE ~13.5%, ROE ~10.7%), growth is ~11% with FY27 guidance around 15% at an 11-12% EBITDA margin, and the balance sheet is comfortable (D/E ~11%). The investment story is operating leverage from rising capacity utilisation, but there is no specific named catalyst, and the source curator's own framing (in the old project) explicitly called this the more speculative/opportunistic name in its cohort.</w:t>
      </w:r>
    </w:p>
    <w:p>
      <w:pPr>
        <w:pStyle w:val="Heading1"/>
        <w:spacing w:after="120" w:before="280"/>
      </w:pPr>
      <w:r>
        <w:t xml:space="preserve">Technical Read (Weekly / Monthly MACD + Bollinger Bands, or RSI/CCI/Williams %R proxy)</w:t>
      </w:r>
    </w:p>
    <w:p>
      <w:pPr>
        <w:spacing w:after="120"/>
      </w:pPr>
      <w:r>
        <w:t xml:space="preserve">Not independently pulled. 52-week range Rs 132-199 — a fairly narrow band, consistent with a low-volatility, moderate-growth name.</w:t>
      </w:r>
    </w:p>
    <w:p>
      <w:pPr>
        <w:pStyle w:val="Heading1"/>
        <w:spacing w:after="120" w:before="280"/>
      </w:pPr>
      <w:r>
        <w:t xml:space="preserve">ValuePickr Community Signal</w:t>
      </w:r>
    </w:p>
    <w:p>
      <w:pPr>
        <w:spacing w:after="120"/>
      </w:pPr>
      <w:r>
        <w:t xml:space="preserve">ValuePickr thread has 3 posts (highest post #3), all from 19 February 2024 — dead since. Read all inline posts: an industry overview of the IBC / steel-drum / plastic-drum markets, and a one-line comment that 'detailed risk analysis is missing.' No new forum activity since Feb 2024; no meaningful community coverage exists.</w:t>
      </w:r>
    </w:p>
    <w:p>
      <w:pPr>
        <w:spacing w:after="120"/>
      </w:pPr>
      <w:r>
        <w:rPr>
          <w:b/>
          <w:bCs/>
          <w:sz w:val="20"/>
          <w:szCs w:val="20"/>
        </w:rPr>
        <w:t xml:space="preserve">High-conviction call from a top contributor: </w:t>
      </w:r>
      <w:r>
        <w:rPr>
          <w:sz w:val="20"/>
          <w:szCs w:val="20"/>
        </w:rPr>
        <w:t xml:space="preserve">No trusted-roster users; the thread is inactive and has no substantive discussion or conviction calls.</w:t>
      </w:r>
    </w:p>
    <w:p>
      <w:pPr>
        <w:pStyle w:val="Heading1"/>
        <w:spacing w:after="120" w:before="280"/>
      </w:pPr>
      <w:r>
        <w:t xml:space="preserve">BSE Corporate Actions / Other Red Flags</w:t>
      </w:r>
    </w:p>
    <w:p>
      <w:pPr>
        <w:spacing w:after="120"/>
      </w:pPr>
      <w:r>
        <w:t xml:space="preserve">Not independently checked this pass.</w:t>
      </w:r>
    </w:p>
    <w:p>
      <w:pPr>
        <w:pStyle w:val="Heading1"/>
        <w:spacing w:after="120" w:before="280"/>
      </w:pPr>
      <w:r>
        <w:t xml:space="preserve">Bull Case</w:t>
      </w:r>
    </w:p>
    <w:p>
      <w:pPr>
        <w:pStyle w:val="ListParagraph"/>
        <w:numPr>
          <w:ilvl w:val="0"/>
          <w:numId w:val="1"/>
        </w:numPr>
        <w:spacing w:after="60"/>
      </w:pPr>
      <w:r>
        <w:t xml:space="preserve">Comfortable balance sheet (D/E ~11%) and a defensible packaging niche serving chemical/pharma customers</w:t>
      </w:r>
    </w:p>
    <w:p>
      <w:pPr>
        <w:pStyle w:val="ListParagraph"/>
        <w:numPr>
          <w:ilvl w:val="0"/>
          <w:numId w:val="1"/>
        </w:numPr>
        <w:spacing w:after="60"/>
      </w:pPr>
      <w:r>
        <w:t xml:space="preserve">Operating-leverage upside if capacity utilisation keeps rising</w:t>
      </w:r>
    </w:p>
    <w:p>
      <w:pPr>
        <w:pStyle w:val="ListParagraph"/>
        <w:numPr>
          <w:ilvl w:val="0"/>
          <w:numId w:val="1"/>
        </w:numPr>
        <w:spacing w:after="60"/>
      </w:pPr>
      <w:r>
        <w:t xml:space="preserve">FY27 guidance of ~15% revenue growth is a modest step up from the ~11% trailing rate</w:t>
      </w:r>
    </w:p>
    <w:p>
      <w:pPr>
        <w:pStyle w:val="Heading1"/>
        <w:spacing w:after="120" w:before="280"/>
      </w:pPr>
      <w:r>
        <w:t xml:space="preserve">Bear Case / Key Risks</w:t>
      </w:r>
    </w:p>
    <w:p>
      <w:pPr>
        <w:pStyle w:val="ListParagraph"/>
        <w:numPr>
          <w:ilvl w:val="0"/>
          <w:numId w:val="1"/>
        </w:numPr>
        <w:spacing w:after="60"/>
      </w:pPr>
      <w:r>
        <w:t xml:space="preserve">ROCE ~13.5% / ROE ~10.7% — moderate, not standout capital efficiency</w:t>
      </w:r>
    </w:p>
    <w:p>
      <w:pPr>
        <w:pStyle w:val="ListParagraph"/>
        <w:numPr>
          <w:ilvl w:val="0"/>
          <w:numId w:val="1"/>
        </w:numPr>
        <w:spacing w:after="60"/>
      </w:pPr>
      <w:r>
        <w:t xml:space="preserve">~11-15% growth is far short of what a 10x-in-2-3-years outcome requires</w:t>
      </w:r>
    </w:p>
    <w:p>
      <w:pPr>
        <w:pStyle w:val="ListParagraph"/>
        <w:numPr>
          <w:ilvl w:val="0"/>
          <w:numId w:val="1"/>
        </w:numPr>
        <w:spacing w:after="60"/>
      </w:pPr>
      <w:r>
        <w:t xml:space="preserve">No specific named forward catalyst; the story is a gradual utilisation ramp</w:t>
      </w:r>
    </w:p>
    <w:p>
      <w:pPr>
        <w:pStyle w:val="ListParagraph"/>
        <w:numPr>
          <w:ilvl w:val="0"/>
          <w:numId w:val="1"/>
        </w:numPr>
        <w:spacing w:after="60"/>
      </w:pPr>
      <w:r>
        <w:t xml:space="preserve">ValuePickr thread dead since February 2024 — no independent community scrutiny</w:t>
      </w:r>
    </w:p>
    <w:p>
      <w:pPr>
        <w:pStyle w:val="Heading1"/>
        <w:spacing w:after="120" w:before="280"/>
      </w:pPr>
      <w:r>
        <w:t xml:space="preserve">Market-Cap Tier (informational — not a gate in this project)</w:t>
      </w:r>
    </w:p>
    <w:p>
      <w:pPr>
        <w:spacing w:after="120"/>
      </w:pPr>
      <w:r>
        <w:rPr>
          <w:b/>
          <w:bCs/>
        </w:rPr>
        <w:t xml:space="preserve">Small/Microcap (~Rs 647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Moderate growth and returns with no catalyst and a dead VP thread — does not fit the open-screen multi-bagger thesis</w:t>
      </w:r>
    </w:p>
    <w:p>
      <w:pPr>
        <w:pStyle w:val="ListParagraph"/>
        <w:numPr>
          <w:ilvl w:val="0"/>
          <w:numId w:val="1"/>
        </w:numPr>
        <w:spacing w:after="60"/>
      </w:pPr>
      <w:r>
        <w:t xml:space="preserve">~11-15% growth and ~11-13% ROE/ROCE make this a steady industrial-packaging name, not a 2-3 year multi-bagger</w:t>
      </w:r>
    </w:p>
    <w:p>
      <w:pPr>
        <w:pStyle w:val="ListParagraph"/>
        <w:numPr>
          <w:ilvl w:val="0"/>
          <w:numId w:val="1"/>
        </w:numPr>
        <w:spacing w:after="60"/>
      </w:pPr>
      <w:r>
        <w:t xml:space="preserve">No specific forward catalyst beyond a gradual capacity-utilisation ramp, and the ValuePickr thread has been dead since Feb 2024</w:t>
      </w:r>
    </w:p>
    <w:p>
      <w:pPr>
        <w:pStyle w:val="ListParagraph"/>
        <w:numPr>
          <w:ilvl w:val="0"/>
          <w:numId w:val="1"/>
        </w:numPr>
        <w:spacing w:after="60"/>
      </w:pPr>
      <w:r>
        <w:t xml:space="preserve">Old 108-stock project rated it Tier C ('the more speculative name in its cohort'); re-derived under the open-screen thesis it is 'neither' — the growth and catalyst bar are not met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2026-08-28T15:39:42.665Z</dcterms:created>
  <dcterms:modified xsi:type="dcterms:W3CDTF">2026-08-28T15:39:42.666Z</dcterms:modified>
</cp:coreProperties>
</file>

<file path=docProps/custom.xml><?xml version="1.0" encoding="utf-8"?>
<Properties xmlns="http://schemas.openxmlformats.org/officeDocument/2006/custom-properties" xmlns:vt="http://schemas.openxmlformats.org/officeDocument/2006/docPropsVTypes"/>
</file>