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RACL Geartech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Export-focused precision transmission-gear maker (KTM, ZF, BMW) mid-way through an operational turn: an Rs 80 Cr FY26 equity infusion cut debt and lifted the rating to A-/Positive, KTM production is restarting under Bajaj and a BMW EV Tier-1 nomination goes to mass production in Feb 2026 - but ~35x earnings on a mid-teens-ROCE, capital-intensive, European-auto-exposed cyclical already prices the recovery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RACL makes transmission gears and shafts, sub-assemblies, chassis and precision-machined parts for automotive and industrial customers, ~70-75% exported (Europe 62% of Q1 FY27). Two plants (Gajraula, Noida) plus three European warehouses; ~22 active global customers. Key relationships: KTM (now Bajaj-owned), the ZF group, and a premium German car maker that nominated RACL as a Tier-1 supplier for an EV parking-lock mechanism (mass production Feb 2026); further nominations for pedal-assist e-bike gearboxes and a BMW e-mobility drivetrain programme. Externally surfaced as an 'operational-transformation case study' by @ayushmitt (untrusted X triage, 2026-09-02).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1,750 Cr; P/E ~35x trailing; up ~57% in a year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~16.9% / ~17%; D/E ~0.67x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</w:t>
            </w:r>
          </w:p>
        </w:tc>
        <w:tc>
          <w:tcPr>
            <w:tcW w:type="dxa" w:w="5800"/>
          </w:tcPr>
          <w:p>
            <w:r>
              <w:t xml:space="preserve">Revenue ~Rs 490 Cr; consol PAT ~Rs 49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Consol revenue Rs 132.6 Cr (+22% YoY); EBITDA Rs 32.2 Cr (~24.3%); PBT Rs 16.8 Cr (+50% YoY); PAT ~Rs 8.9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</w:t>
            </w:r>
          </w:p>
        </w:tc>
        <w:tc>
          <w:tcPr>
            <w:tcW w:type="dxa" w:w="5800"/>
          </w:tcPr>
          <w:p>
            <w:r>
              <w:t xml:space="preserve">Rs 805 - Rs 1,692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Rs 80 Cr equity infusion in Q1 FY26 (preferential at Rs 795 to India Acorn/Prashant Khemka, Ashoka India Equity, Malabar India Fund) cut debt ~Rs 53 Cr; CARE rating A-/Positive (up from A-/Stable)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</w:t>
            </w:r>
          </w:p>
        </w:tc>
        <w:tc>
          <w:tcPr>
            <w:tcW w:type="dxa" w:w="5800"/>
          </w:tcPr>
          <w:p>
            <w:r>
              <w:t xml:space="preserve">~15-20% revenue growth for FY27; 4 projects with ~Rs 350 Cr combined revenue potential over 4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Watch items</w:t>
            </w:r>
          </w:p>
        </w:tc>
        <w:tc>
          <w:tcPr>
            <w:tcW w:type="dxa" w:w="5800"/>
          </w:tcPr>
          <w:p>
            <w:r>
              <w:t xml:space="preserve">Historically ~350 inventory days / heavy working capital; FY25 hit by a KTM Austria production halt (~Rs 35-40 Cr revenue loss), quarter where interest cost exceeded PBT, and repeated guidance cuts (Rs 550 Cr -&gt; Rs 460-490 Cr); PICUP (a UP-government promoter entity) sold 4.63% in May 2025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RACL is a genuine niche exporter of precision gears with blue-chip European customers, but it is capital-intensive (long working-capital cycle, ahead-of-demand capex) and cyclically tied to European two-wheeler/PV demand and to KTM, which structurally struggled in FY25 (Austria production halt, near-zero KTM sales for ~6 months). The turn is real and visible: an Rs 80 Cr FY26 equity infusion (Malabar, Ashoka, Prashant Khemka's India Acorn) cut debt and lifted the credit rating; KTM production is restarting under Bajaj ownership; the German Tier-1 EV parking-lock programme goes to mass production in Feb 2026; and Q1 FY27 delivered +22% revenue and +50% PBT with margins back to ~24%. But ROCE is only mid-teens, the balance sheet is still working-capital-heavy, management has a track record of cutting its own guidance, and at ~35x trailing earnings the recovery is already in the price with no margin of safety.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auto ancillaries - precision transmission gears / EV drivetrain + shift of gear manufacturing from Europe to India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niche precision-gear &amp; shaft exporter to European premium 2W / PV / tractor OEMs and Tier-1s (KTM, ZF, BMW)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OEM qualification / Tier-1 nomination cycles + gear-grinding 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Sundram Fasteners, Divgi TorqTransfer, GNA Axles, Sona BLW Precision Forgings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Hard-to-win OEM approvals are the moat; global players (ZF) moving gear manufacturing out of high-energy-cost Europe to India is the structural tailwind, but demand is cyclical and tied to European 2W/PV volumes and KTM.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Stock is up ~57% in a year and near the upper half of an Rs 805-1,692 range; forum thread has had no new post since Jan 2026.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 454-post thread, but no new activity since 1-Jan-2026 (harsh.beria93's detailed 'growth seems back' notes: Rs 80 Cr equity infusion reduced debt ~Rs 53 Cr, 4 projects ~Rs 350 Cr potential, top-5 customers ~58% of revenue). Through 2024-25 the recurring themes were rising debt (interest &gt; PBT in Q1 FY25), heavy inventory/working capital, repeated guidance cuts on European weakness and the KTM halt, and a long-awaited fund-raise finally done in FY26. Bajaj's KTM takeover (May 2025) and an Aug-2025 domestic mass-market motorcycle order were read as positive.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Two elevated-tier users engaged: Marathondreams (invested ~3 years, one of their largest holdings, repeatedly flags debt as the core problem and wanted equity dilution) and ranvir (balanced concall notes). harsh.beria93 posts detailed, constructive notes. Consistent long-term-holder interest but no sized high-conviction call and no core-tier (phreakv6) engagement.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2024-09-12 — ranvir</w:t>
      </w:r>
      <w:r>
        <w:rPr>
          <w:i/>
          <w:iCs/>
          <w:color w:val="666666"/>
          <w:sz w:val="18"/>
          <w:szCs w:val="18"/>
        </w:rPr>
        <w:t xml:space="preserve"> (RACL Geartech Limited thread)</w:t>
      </w:r>
      <w:r>
        <w:rPr>
          <w:sz w:val="20"/>
          <w:szCs w:val="20"/>
        </w:rPr>
        <w:br/>
        <w:t xml:space="preserve">: Elevated-tier user posted balanced Q1 FY25 concall notes (Tier-1 nomination for parking-lock mechanism, ZF relationship, margin compression on RM + depreciation/interest). Factual coverage, not a call.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2024-05-28 — Marathondreams</w:t>
      </w:r>
      <w:r>
        <w:rPr>
          <w:i/>
          <w:iCs/>
          <w:color w:val="666666"/>
          <w:sz w:val="18"/>
          <w:szCs w:val="18"/>
        </w:rPr>
        <w:t xml:space="preserve"> (RACL Geartech Limited thread)</w:t>
      </w:r>
      <w:r>
        <w:rPr>
          <w:sz w:val="20"/>
          <w:szCs w:val="20"/>
        </w:rPr>
        <w:br/>
        <w:t xml:space="preserve">: Elevated-tier user, invested ~3 years, RACL a core PF holding; flagged rising debt / interest cost as the biggest risk and called for an equity raise (which the company did in FY26). Long-term-holder caution, not a fresh buy call. Elevated tier, no conviction floor.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FY26 Rs 80 Cr preferential equity infusion to marquee funds; CARE rating upgraded to A-/Positive on the equity infusion. PICUP (Pradeshiya Industrial &amp; Investment Corp of UP, a government promoter-category entity) sold ~4.63% in a May-2025 block deal picked up largely by Malabar - a government disinvestment, not a governance event.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Operational turn visible in Q1 FY27: revenue +22% YoY, PBT +50%, EBITDA margin back to ~24%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80 Cr FY26 equity infusion from Malabar / Ashoka / Prashant Khemka's India Acorn cut debt ~Rs 53 Cr and lifted the rating to A-/Positive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KTM production restarting under Bajaj ownership after a lost FY25; new Aug-2025 domestic mass-market motorcycle order broadens beyond premium exports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German Tier-1 EV parking-lock mechanism programme reaches mass production Feb 2026; further nominations for e-bike gearboxes and a BMW e-mobility drivetrain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Niche, hard-to-qualify precision-gear supplier to KTM/ZF/BMW; structural shift of gear manufacturing from high-energy-cost Europe to India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 projects with ~Rs 350 Cr combined revenue potential over 4 years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~35x trailing earnings on a ~17% ROCE, capital-intensive cyclical - the recovery is already priced, with no margin of safety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Capital intensity: historically ~350 inventory days and a heavy working-capital cycle; capex runs ahead of demand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Structurally exposed to weak European two-wheeler/PV demand and to KTM, which nearly halved RACL's growth in FY25 (Austria halt, ~Rs 35-40 Cr revenue loss)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has repeatedly cut its own guidance (Rs 550 Cr -&gt; Rs 460-490 Cr); FY27 guide is a modest 15-20%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structural inflection that lifts it out of size/quality math - the catalysts (BMW ramp, KTM recovery) are incremental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Forum thread dormant since Jan 2026; no trusted-roster conviction call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1,750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External-lead (untrusted X) 'operational-transformation' case: the deleveraging + KTM recovery + BMW EV Tier-1 ramp are real and showing in Q1 FY27, but ~35x earnings on a mid-teens-ROCE, capital-intensive, European-auto-exposed cyclical already prices it. thesis_fit neither,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Surfaced by @ayushmitt (untrusted X triage) as a big operational-transformation case study - the transformation (Rs 80 Cr equity infusion cutting debt, rating up to A-/Positive, KTM restart under Bajaj, BMW EV parking-lock to mass production Feb 2026, first domestic mass-market order) is genuine and visible in Q1 FY27 (+22% revenue, +50% PBT)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Small/mid-cap trailing-vs-inflection test considered: FY25 was weak, recent quarter has inflected and there is a catalyst - but ROCE is only mid-teens, the balance sheet is still working-capital-heavy, and at ~35x trailing there is no valuation margin of safety, so the 10x-in-2-3-years frame is not warranted (catalyst is incremental, not transformational)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management/structural inflection that overrides size/quality math -&gt; thesis_fit neither; conviction Low-Medium on the visible turn and marquee-fund backing, held down by valuation, capital intensity, European-cyclical exposure and a guidance-cut track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beyond a loose auto-ancillary / EV-drivetrain adjacency (value_chain block added). No red flag (equity infusion done, rating upgraded, PICUP sale is a government disinvestment)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revisit_after_30d false. Re-check triggers: BMW parking-lock mass production on schedule (Feb 2026), KTM volume recovery under Bajaj, a visible working-capital-cycle improvement, and sustained &gt;20% growth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2026-09-02T18:02:08.521Z</dcterms:created>
  <dcterms:modified xsi:type="dcterms:W3CDTF">2026-09-02T18:02:08.527Z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