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RBZ Jewellers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B2B antique bridal gold jewellery manufacturer (job-work/wholesale to Titan, Malabar, Joyalukkas, Senco, Bhima, PN Gadgil) with ~29% ROCE, +60% Q1 FY27 revenue growth, and a genuine wholesale-moat angle the direct-to-consumer jewellery names don't have — but almost no VP community diligence to lean on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Ahmedabad-based designer/manufacturer/distributor of Antique Bridal Gold Jewellery, selling on a wholesale and job-work basis to national retail jewellery chains rather than competing with them directly at the consumer end. A strategic vendor partner to Titan; client list per the VP thread includes Malabar, Joyalukkas, Senco, Bhima Jewellers, Kalamandir and P N Gadgil. ~24,000 sq ft manufacturing capacity, 1,700-2,000 kg/year gold-processing capacity. Expanding into large-format own stores (Surat, Rajkot planned FY27; Gandhinagar, Eastern Ahmedabad under evaluation).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764 Cr (small-cap)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~29.1% / ~20.1% (FY26)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 / PAT</w:t>
            </w:r>
          </w:p>
        </w:tc>
        <w:tc>
          <w:tcPr>
            <w:tcW w:type="dxa" w:w="5800"/>
          </w:tcPr>
          <w:p>
            <w:r>
              <w:t xml:space="preserve">Revenue +20.1% YoY; PAT +41% YoY to ~Rs 55 Cr (implied from a ~41% PAT-growth figure); EBITDA margin ~14.4%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+59.8% YoY; PAT +27.7% YoY to Rs 9.09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Meaningful working-capital borrowings (current + non-current ~Rs 140 Cr) — normal for a gold-inventory-heavy jeweller, not a red flag on its own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Expansion</w:t>
            </w:r>
          </w:p>
        </w:tc>
        <w:tc>
          <w:tcPr>
            <w:tcW w:type="dxa" w:w="5800"/>
          </w:tcPr>
          <w:p>
            <w:r>
              <w:t xml:space="preserve">Large-format own stores planned for Surat and Rajkot in FY27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Strong, evidenced returns (ROCE ~29%) and accelerating growth (Q1 FY27 revenue +60% YoY, though PAT growth of +28% lagged the revenue spike — likely gold-price/inventory timing effects worth watching, not yet a red flag). The B2B wholesale/job-work model to established national retail chains (rather than competing head-on as a consumer brand) is a genuine structural difference from most listed jewellery names, and the FY27 push into owned large-format stores is a real (if execution-dependent) second growth leg.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VP thread (topic 188519, only 3 posts, opened Mar 2025, no activity since) is essentially a company-overview post (love: 9 — the most-loved single post found across this run's batch) followed immediately by a reply flagging that 'detailed risk analysis, financials &amp; disclosure of your holding is missing.' No further discussion followed — the thread never developed into real diligence.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Minimal — one well-received overview post established the interesting B2B-wholesale angle, but a legitimate call for deeper risk/financial disclosure went unanswered and the thread went dormant.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 order; no going-concern issue found. No red_flag_tier.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B2B wholesale/job-work model to major national retail chains (Titan strategic vendor, plus Malabar/Joyalukkas/Senco/Bhima/PN Gadgil as clients) is structurally different from direct-to-consumer jewellery competition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~29% ROCE and accelerating growth (Q1 FY27 revenue +60% YoY) at a Rs 764 Cr small-cap size leaves real room to compound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Gold at all-time highs is a tailwind for a gold-inventory business, and the FY27 push into owned large-format stores (Surat, Rajkot) is a credible second growth leg if executed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Near-zero independent VP community diligence — the one call for detailed risk/financial disclosure was never answered on-thread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PAT growth (+28%) lagged revenue growth (+60%) meaningfully — worth confirming this is gold-price/inventory timing and not margin erosion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Regional (Gujarat-concentrated) exposure as it expands into owned retail, a different execution risk than its established wholesale/job-work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Working-capital-heavy, gold-price-exposed balance sheet typical of the category — inventory financing risk in a sharp gold-price reversal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764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(gold at all-time highs directly benefits a gold-inventory wholesale jeweller, both via wedding-jewellery demand and gold-price effects — a live, structural driver, not just cyclical). tam weak (Rs 764 Cr small-cap; a 10x is arithmetically possible but the wholesale/job-work TAM ceiling with a handful of large retail clients isn't demonstrated to be that large without the new owned-store strategy scaling). moat weak (the B2B-to-major-retailers positioning is a real differentiator vs. consumer-facing jewellers, but not yet evidenced as defensible pricing power — a real strength, capped at 'weak' pending more disclosure). valuation weak (29% ROCE for ~14x-ish trailing-ish multiples reads reasonable, but data is thin enough not to call it clearly cheap). Score 2.5 -&gt; per the decision table this needs a written exception for a return-magnitude label. Small/mid-cap live-inflection rule applies: the +60% Q1 FY27 revenue print plus the FY27 owned-store catalyst is a real recent-quarter inflection -&gt; thesis_fit allowed as 10x-in-2-3-years at Low/Medium with an 'unconfirmed' caveat, per the stated interaction rule, rather than defaulting to 'neither'.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(tier 4.5, @StocksAndStoics). No live-theme match in active_themes.json (jewellery/gold-retail is not a listed theme; 'gold financiers' theme is about lenders, not jewellers). four_box score 2.5; applying the small/mid-cap live-inflection interaction rule (real recent-quarter inflection — Q1 FY27 revenue +60% YoY — plus a dated FY27 catalyst — Surat/Rajkot store launches) rather than the trailing-average read -&gt; thesis_fit '10x-in-2-3-years' with an explicit 'unconfirmed' caveat, conviction capped at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the B2B-wholesale moat angle and return metrics are genuinely attractive, but this call rests on thin (3-post) VP community diligence and unverified financial disclosure that a forum member explicitly flagged as missing and never got answered.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red_flag_tier, no revisit flag (conviction below the Medium-High threshold). A good candidate to re-verify once FY27 quarterly results show whether the PAT-vs-revenue growth gap in Q1 FY27 was transient and whether the new owned-store format is executing.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2026-09-04T13:37:14.740Z</dcterms:created>
  <dcterms:modified xsi:type="dcterms:W3CDTF">2026-09-04T13:37:14.741Z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