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Rain Industries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carbon/petrochemicals deleveraging play showing a sharp recent profit inflection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Rain Industries produces calcined petroleum coke (CPC) and coal tar pitch (carbon products used in aluminium smelting) plus a cement and advanced materials/chemicals business, with meaningful international operations. The long-running thread frames it as an 'oversold de-leveraging play'.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6,892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-6.68% (historically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(H1)</w:t>
            </w:r>
          </w:p>
        </w:tc>
        <w:tc>
          <w:tcPr>
            <w:tcW w:type="dxa" w:w="5800"/>
          </w:tcPr>
          <w:p>
            <w:r>
              <w:t xml:space="preserve">7.85%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10.1% (poor, but recent quarter inflected sharply)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Q(Mar-2026) net profit growth</w:t>
            </w:r>
          </w:p>
        </w:tc>
        <w:tc>
          <w:tcPr>
            <w:tcW w:type="dxa" w:w="5800"/>
          </w:tcPr>
          <w:p>
            <w:r>
              <w:t xml:space="preserve">318.95%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Q(Mar-2026) net sales</w:t>
            </w:r>
          </w:p>
        </w:tc>
        <w:tc>
          <w:tcPr>
            <w:tcW w:type="dxa" w:w="5800"/>
          </w:tcPr>
          <w:p>
            <w:r>
              <w:t xml:space="preserve">Rs 4,520.73 Cr (record)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99.90 - 247.75 (recently hit new 52-week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 3-year ROE is negative, reflecting a genuinely weak multi-year stretch (commodity down-cycle plus leverage), but the most recent quarter shows a sharp turnaround: record sales and 319% YoY profit growth. This is an early-inflection story, not yet a consistently strong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recently hit a new 52-week high of Rs 225.6+ (range Rs 99.90-247.75) — a clear up-trend breakout coinciding with the profit inflection.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(545 replies, last activity 2026-08-18). Recent posts are centered on parsing management's Q2CY26 concall commentary.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atishay_jain1 (2026-08 post, 4 loves) posted Q2CY26 management commentary notes (image-based) — engaged, detail-oriented tracking of the turnaround, though the note content itself wasn't extractable as text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the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Sharp, real (not narrative-only) profit inflection: 319% YoY profit growth and record quarterly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market cap (~Rs 6,900 Cr) means a sustained turnaround has real multiple-expansion + earnings-growth runway toward a 10x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breaking out to new 52-week highs confirms the market is starting to price the turnaround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ROE of -6.68% shows this was a genuinely weak business until very recently — one strong quarter isn't a trend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of only 10.1% means the 'turnaround' has to prove it's structural, not cyclical (commodity/carbon prices can reverse)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Leverage/de-leveraging framing implies balance-sheet risk if the cycle turns against it again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 in 2-3 years — plausible if this quarter's inflection is the start of a sustained cycle, given the small base; needs 2-3 more quarters of confirmation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Early-stage turnaround worth tracking, not yet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standout quarter (319% profit growth, record sales) breaks a multi-year weak-ROE pattern — real signal, but a single data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size and cyclical/commodity nature make the upside case plausible if it 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revisiting in the next quarter or two before sizing any position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2026-08-21T16:20:51.019Z</dcterms:created>
  <dcterms:modified xsi:type="dcterms:W3CDTF">2026-08-21T16:20:51.024Z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