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Rashi Peripherals Ltd (RPTECH)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#2 consumer-technology and components distributor with ~28% revenue CAGR - but a thin-margin distribution model structurally caps ROE at ~13%, so no 10x slope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Rashi Peripherals (incorporated 1989) is India's second-largest distributor of consumer technology, embedded/semiconductor products and enterprise solutions - a pan-India network of 700+ locations, 57 branches, 50 service centres, 73 warehouses, 80 global brand partnerships (Intel, AMD, NVIDIA, Apple and others) and 10,250+ channel partners, organised into Personal Computing &amp; Enterprise Solutions and Lifestyle &amp; IT Essentials.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5,266 Cr (small/mid-cap)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~13.2% (3-yr) / ~16.8%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~27.6% revenue CAGR - strong topline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Business model</w:t>
            </w:r>
          </w:p>
        </w:tc>
        <w:tc>
          <w:tcPr>
            <w:tcW w:type="dxa" w:w="5800"/>
          </w:tcPr>
          <w:p>
            <w:r>
              <w:t xml:space="preserve">Low-margin, working-capital-intensive distribution; balance sheet described as adequate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275.6 - 889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is strong, but this is a distribution business: gross margins are thin, working capital is heavy, and ROE (~13%) reflects the structural economics of the model. Topline can compound with Indian IT-hardware demand, but the margin/return profile does not support a re-rating to multi-bagger valuations.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Global-signal check: </w:t>
      </w:r>
      <w:r>
        <w:rPr>
          <w:b w:val="false"/>
          <w:bCs w:val="false"/>
          <w:sz w:val="20"/>
          <w:szCs w:val="20"/>
        </w:rPr>
        <w:t xml:space="preserve">Indian-name alignment with the Memory super-cycle (DRAM / HBM / NAND) tailwind is partial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Bellwether / theme</w:t>
            </w:r>
          </w:p>
        </w:tc>
        <w:tc>
          <w:tcPr>
            <w:tcW w:type="dxa" w:w="5800"/>
          </w:tcPr>
          <w:p>
            <w:r>
              <w:t xml:space="preserve">Micron + SK Hynix — Memory super-cycle (DRAM / HBM / NAND)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Global tailwind</w:t>
            </w:r>
          </w:p>
        </w:tc>
        <w:tc>
          <w:tcPr>
            <w:tcW w:type="dxa" w:w="5800"/>
          </w:tcPr>
          <w:p>
            <w:r>
              <w:t xml:space="preserve">accelerating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Signal looked for</w:t>
            </w:r>
          </w:p>
        </w:tc>
        <w:tc>
          <w:tcPr>
            <w:tcW w:type="dxa" w:w="5800"/>
          </w:tcPr>
          <w:p>
            <w:r>
              <w:t xml:space="preserve">memory shortage shows up as optically higher revenue growth for the IT-hardware/memory distributor (Ishmohit's distributor thesis) - and/or margin expansion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Found in the Indian name</w:t>
            </w:r>
          </w:p>
        </w:tc>
        <w:tc>
          <w:tcPr>
            <w:tcW w:type="dxa" w:w="5800"/>
          </w:tcPr>
          <w:p>
            <w:r>
              <w:t xml:space="preserve">Q1FY27 rev +61.9% YoY to Rs5,100cr; mgmt attributes 30-35% of growth to PRICE increases (memory/chip pass-through), 20-25% to volume, 5-10% to new brands; EBITDA margin CONTRACTED 24bps to 3.04% (mix shift to lower-margin PES); mgmt flagged an 'orange alert' on chip/memory component shortages that could cap future volume growth.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Checked on</w:t>
            </w:r>
          </w:p>
        </w:tc>
        <w:tc>
          <w:tcPr>
            <w:tcW w:type="dxa" w:w="5800"/>
          </w:tcPr>
          <w:p>
            <w:r>
              <w:t xml:space="preserve">2026-09-02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Revenue leg of the distributor thesis is confirmed - the memory-price spike is optically inflating the topline exactly as predicted. But there is no margin benefit (thin ~3% distributor economics, margin actually down) and management frames the shortage as a forward volume HEADWIND, so this is not a clean positive same-signal read.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Wide 52-week range ~Rs 276-889.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Preliminary filter only - the ValuePickr thread is brand new and near-empty (3 posts, highest post ~5; one detailed introductory post by vnktshb on Aug 10, 2026, plus two blank posts). Not enough for a deep read. Filtered on business-model grounds: a thin-margin distributor with ~13% ROE does not clear the quality/upside bar even with ~28% revenue growth. Not in the old 108-stock project's tiers.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Minimal - one substantive introductory post (vnktshb, invested, 1 love) laying out the network and brand list; no conviction discussion yet.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None flagged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#2 position in Indian consumer-tech distribution with deep reach (700+ locations) and 80 brand partnerships including Intel, AMD, NVIDIA, Apple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~28% revenue CAGR riding Indian PC, components and enterprise-hardware demand (incl. AI/GPU cycle)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Distribution model: thin gross margins, heavy working capital, ROE structurally ~13% - limited scope for a valuation re-rating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Earnings are exposed to inventory/price risk on fast-moving tech SKUs and to brand-partner terms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Thread too new to provide any community validation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5,266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Fast-growing but structurally thin-margin distributor - filtered at the preliminary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revenue growth is offset by a distribution model that caps ROE near ~13% and carries heavy working capital - the quality/upside bar is not met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in the old 108-stock project. Conviction LOW, thesis-fit 'neither', no revisit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thread near-empty (3 posts) - no deep read; checkpoint set to the current highest post number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2026-09-02T14:18:18.561Z</dcterms:created>
  <dcterms:modified xsi:type="dcterms:W3CDTF">2026-09-02T14:18:18.566Z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