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Repco Home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Cheaply-valued affordable-housing NBFC with an improving ROE trend, but a slow turnaround with a real governance overhang, not a demonstrated growth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Repco Home Finance is a housing-finance NBFC focused on the informal/self-employed segment, historically concentrated in Tamil Nadu, positioned as a quasi-PSU (majority-owned via Repco Bank).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2,301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5.43% over past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333.90 - 463.60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~4.78, Book Value Rs 646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old research project's Aug 2026 assessment (tierB) called this 'improving ROE trend and 3 consecutive years of rising profit, but weak historical 5yr growth (5.43%) — a slow turnaround, not a demonstrated high-growth story.' Screener also flags a low interest coverage ratio as a concern. Trades cheaply (~0.9-1.0x book, P/E under 5), but cheapness alone isn't this screen's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656 posts (2018-2025, single batch, no escalation needed — sentiment was consistently cautious/mixed with no live building-conviction debate). Key recurring themes: repeated comparisons to Gruh Finance/Can Fin Homes that never materialized ('Another Gruh in the making... still only one Gruh'), a missed FY24 loan-book growth target (guided Rs 14,000 Cr, actual Rs 13,513 Cr), and persistent mentions of historical governance/fraud concerns as an 'overhang.'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nav_1996 (trusted) was constructive in 2021 ('very interesting at current levels... 0.7 BV and 6 forward PE') but explicitly exited in Sept 2022 at a 30% loss, noting 'Learning: Always stick to market leader in any segment' — a real, disclosed negative outcome from a trusted user. bhaskarbora67 (trusted) posted collection-efficiency concall notes during COVID recovery (2020). A non-trusted but engaged poster (Intrepid_Captain, March 2023) flagged 'history of fraud and bad corporate governance is a big overhang on the stock,' alongside geographic concentration risk in Tamil Nadu — unrebutted in the thread as of the posts read. Jadewade (trusted) in July 2024 noted the company missed its Rs 14,000 Cr FY24 loan-book guidance and now needs 14-15% CAGR to reach the revised Rs 20,000 Cr FY27 target.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2026-08-23 — phreakv6</w:t>
      </w:r>
      <w:r>
        <w:rPr>
          <w:i/>
          <w:iCs/>
          <w:color w:val="666666"/>
          <w:sz w:val="18"/>
          <w:szCs w:val="18"/>
        </w:rPr>
        <w:t xml:space="preserve"> (external (X post corroboration, not this VP thread))</w:t>
      </w:r>
      <w:r>
        <w:rPr>
          <w:sz w:val="20"/>
          <w:szCs w:val="20"/>
        </w:rPr>
        <w:br/>
        <w:t xml:space="preserve">: Source_detail: Investing Accelerator Summit (IAS) 2026 stock list (Aug 7-8 2026), presented by @rajeev_agr, ticker REPCOHOME, CMP Rs 383 as quoted at the summit — a conference high-conviction pitch, not yet independently verified against current fundamentals.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cheaply on traditional metrics (~1x book, P/E under 5) with an improving ROE trend and 3 consecutive years of rising profit per the old project's Aug 2026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external conviction as an IAS 2026 conference pitch (Aug 2026), a specific and recent catalyst worth checking independently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is described as 'poor' (5.43%) by screener, and the company has already missed one loan-book growth guidance (FY24 target of Rs 14,000 Cr, actual Rs 13,513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(nav_1996) disclosed exiting the position at a 30% loss in 2022, an explicit negative real-world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unrebutted community concern about 'history of fraud and bad corporate governance' as an overhang, plus geographic (Tamil Nadu) concentration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 coverage ratio flagged as a concern by screener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2,301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value/turnaround HFC, not a high-growth or multibagger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show a slow, real improvement (rising ROE, 3 years of profit growth) but the 5-year growth track record is weak and the company has already missed one of its own growth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disclosed exit at a loss, combined with an unrebutted governance-overhang concern, keeps conviction low despite the cheap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reads as a potential modest re-rating/value play, not a 10x-in-2-3-years or 100x-in-10-years candidate — the growth engine isn't demonstrated yet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2026-08-24T12:50:09.193Z</dcterms:created>
  <dcterms:modified xsi:type="dcterms:W3CDTF">2026-08-24T12:50:09.194Z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