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Repono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Cheap, high-ROCE BSE-SME petroleum-storage/O&amp;M play with a Reliance contract as a credential — SME liquidity and short history are the constraints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Repono (BSE SME, 544463; incorporated 2017, listed Aug 2025) provides integrated operations &amp; maintenance (O&amp;M), logistics support and 360-degree warehousing / liquid-terminal services focused on the oil value chain (crude, ethanol, petrochemicals, lube blending, specialty chemicals, ATF) plus FFS polymer bagging. Small ValuePickr thread (6 posts) read to June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79 Cr (BSE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~22.4% / ~27.4%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~Rs 66.5 Cr (+29%) / ~Rs 6.6 Cr (+29%)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~27% 5-yr CAGR; FY26 +29%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~1% (effectively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~11.7, Book value ~Rs 43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43.06 - Rs 107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attractive combination: ROCE ~27%, ROE ~22%, ~27% multi-year revenue CAGR, effectively debt-free, at a P/E of ~11.7 — cheap for the return profile. The main practical constraint is BSE-SME liquidity and a very short public history (listed Aug 2025). A supply/O&amp;M agreement with Reliance Industries is a major credential, but per community discussion the revenue impact is ~3 years out (around 2029).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43-107; stock roughly 2.5x off its low with a mid-2026 rally that one community poster attributed partly to trader activity after a broker mention.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ValuePickr thread (6 posts, highest post #7), first-time read of all inline posts, spanning Dec 2025 to June 2026. Santosh_Kadam wrote the business primer; Chandan_Sharma linked the H1 FY26 concall transcript; deepakreads (June 2026) cautioned the current rally may be trader-driven and that the Reliance agreement will take ~3 years to show in numbers, while noting the promoters are pursuing a second large contract.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thread. deepakreads' post is the most balanced: positive on the Reliance credential and pipeline, cautious on near-term rally sustainability and the long revenue-recognition 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Reliance Industries supply/O&amp;M agreement disclosed; promoters reportedly pursuing a second large contract. Not independently verified this pass. BSE-SME listing — structurally thin liquidity.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~27% / ROE ~22% with a ~27% revenue CAGR, effectively debt-free, at only ~11.7x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Reliance Industries agreement is a strong credential that materially upgrades the customer profile and pipeline credibility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Microcap (~Rs 79 Cr) — genuine 10x headroom if it graduates off SME and executes the contract pipeline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BSE-SME liquidity is a hard, structural constraint on building or exiting any real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public track record (listed Aug 2025) — limited multi-quarter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Reliance-contract revenue is ~3 years out; near-term rally may be substantially trader-driven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petroleum-sector customer concentration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SME-platform (~Rs 79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high-return SME with a real Reliance credential — fits the 10x frame, held to Medium by SME liquidity and a short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fundamental package (ROCE ~27%, ~27% growth, debt-free, P/E ~11.7) plus a Reliance contract credential and a ~Rs 79 Cr base keeps this inside the 10x-in-2-3-years 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Medium, not higher: BSE-SME liquidity, ~1 year of public history, and a ~3-year lag on the flagship contract's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this Tier A; re-derived under the open-screen thesis it still fits, with SME liquidity the unchanged binding constraint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2026-08-28T15:39:41.927Z</dcterms:created>
  <dcterms:modified xsi:type="dcterms:W3CDTF">2026-08-28T15:39:41.927Z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