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Restaurant Brands Asia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Burger King master-franchisee for India + Indonesia — strong revenue growth and SSSG, but persistent losses, negative ROE and cash burn from the expansion phase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Operates the Burger King QSR brand in India and (via a subsidiary) Indonesia. Company-owned-store expansion model; ~14% store growth, ~12.6% same-store sales growth, India revenue +24% YoY in a recent quarter.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7,190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(Q1 FY27)</w:t>
            </w:r>
          </w:p>
        </w:tc>
        <w:tc>
          <w:tcPr>
            <w:tcW w:type="dxa" w:w="5800"/>
          </w:tcPr>
          <w:p>
            <w:r>
              <w:t xml:space="preserve">~Rs 823 Cr (+17.9%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~-26.8%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~-2.7%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~0.34; low interest coverage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Persistent net losses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topline story is intact (double-digit SSSG, steady store adds) but the P&amp;L is deeply loss-making — 3-yr ROE ~-27%, negative ROCE, low interest coverage — and Indonesia has been a drag. Every quarter's 'revenue surge' has been accompanied by 'profitability woes'. There is no demonstrated path to sustained positive free cash flow yet.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Did not run a deep thread read — loss-making with ~-27% ROE fails the preliminary filter; write-up is web/fundamentals-led. Thread (topic 28949) ~409 posts, last active 08-Aug-2026.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(Step 4 skipped).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No red flags identified (has positive equity; not a going concern), but low interest coverage is a watch-item.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double-digit same-store sales growth and disciplined store expansion in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if India turns FCF-positive at scale and Indonesia is fixed or divested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QSR TAM with a well-known global brand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ROE ~-27%, negative ROCE, persistent losses; cash burn funding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Indonesia operations a recurring drag; low interest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7,000 Cr cap with no profits — valuation rests entirely on a future margin inflection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7,190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Growth without profit — fails the quality gate until a credible, sustained path to positive FCF appears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ROE/ROCE and ongoing losses put it outside the screen's quality requirement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is real but has not translated to economics after several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at Step 3; revisit only on a demonstrated profitability turn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2026-08-30T06:24:39.901Z</dcterms:created>
  <dcterms:modified xsi:type="dcterms:W3CDTF">2026-08-30T06:24:39.902Z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