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 P Apparels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Tirupur knitwear exporter (infant/children's wear, backward-integrated into yarn) with a stale, largely skeptical VP thread, mediocre ~14% ROCE, and a stock actually ~14% off its 52-week high — not the fresh breakout the X lead claimed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End-to-end manufacturer/exporter of knitted garments near Tirupur, Tamil Nadu — specializes in infant and children's wear, backward-integrated into spinning/weaving/dyeing, recently expanding into adult apparel. Competes with Bangladesh/Vietnam/Pakistan exporters; India lacks the EU FTA access those countries have.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2,631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~14.0% / ~11.2%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~25x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TTM revenue</w:t>
            </w:r>
          </w:p>
        </w:tc>
        <w:tc>
          <w:tcPr>
            <w:tcW w:type="dxa" w:w="5800"/>
          </w:tcPr>
          <w:p>
            <w:r>
              <w:t xml:space="preserve">~Rs 1,553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~0.44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</w:t>
            </w:r>
          </w:p>
        </w:tc>
        <w:tc>
          <w:tcPr>
            <w:tcW w:type="dxa" w:w="5800"/>
          </w:tcPr>
          <w:p>
            <w:r>
              <w:t xml:space="preserve">Rs 1,050 vs 52W H/L Rs 1,222 / 585 — ~14% below high, not at a new high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guide</w:t>
            </w:r>
          </w:p>
        </w:tc>
        <w:tc>
          <w:tcPr>
            <w:tcW w:type="dxa" w:w="5800"/>
          </w:tcPr>
          <w:p>
            <w:r>
              <w:t xml:space="preserve">Company guiding ~Rs 2,000 Cr revenue (implies ~29% growth vs TTM)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Decent but unspectacular returns (14% ROCE, 11.2% ROE) for a textile exporter carrying real debt (D/E 0.44). The X-triage note claimed 'outperforming peers, new 52W high' — neither checks out: ROCE trails several textile-export peers and the stock trades ~14% below its 52-week high, not at one. FY27 revenue guidance of ~Rs 2,000 Cr (vs ~Rs 1,553 Cr TTM) is the one genuinely interesting data point, but it is a management target, not yet evidenced.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near a high; ~14% off the 52-week high per screener data.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VP thread (topic 10211, 49 posts) is stale — last post March 2024 — and skeptical in tone through its history: a 2020 distress-sale rumour on the retail division (later voted down), a 2020 concall showing FY20 EBITDA margin down 340bps on MEIS incentive rollback + COVID, and by 2023 two posters (Vaibhav_Gupta1, Sudhanshu_Shekhar) raising related-party-transaction questions and flatly stating 'no moat around SP Apparels... promoters don't seem to have the vision for growth,' recommending Gokaldas Exports instead. No trusted-user posts found.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Net skeptical / disengaged — no bull case articulated by the community in 4+ years of thread history; last post over 2 years old.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 order; no going-concern issue found. No red_flag_tier.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Backward-integrated (spinning/weaving) knitwear exporter with a long export track record and diversified end-client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management guidance of ~Rs 2,000 Cr revenue, if delivered, would be a real step-up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Textile-export theme (FTA base effect, China+1) is a live priority-2 theme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(14%) and ROE (11.2%) are middling for the space; peers like Gokaldas Exports were explicitly preferred by the VP community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X-lead's factual claims (outperforming peers, new 52-week high) do not hold up against screener/price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RPT questions (promoter lease rent / unsecured loans) raised on the thread in 2023 were never satisfactorily answered on-thread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Stale thread (no posts since March 2024) means no live community read-through on the FY27 guidance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2,631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weak (textile-export FTA base-effect theme is real but generic, not company-specific). tam weak (Rs 2,631 Cr small-cap, no unique scale argument). moat no — the VP community itself flagged 'no moat', unresolved RPT questions, and management vision concerns. valuation weak (25x P/E for 11% ROE is not obviously cheap). Score 1.5 -&gt;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(tier 4.5, @StocksAndStoics via untrusted X triage). No live-theme match beyond the generic textile-export theme (priority 2) — this is a recency/tip-driven discovery, not a theme-first find. four_box score 1.5 -&gt; thesis_fit 'neither', hard.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mediocre returns, an unresolved moat/RPT skepticism from the VP community that was never rebutted, and the specific factual claims in the X lead (new high, outperformance) don't hold 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red_flag_tier, no revisit flag. Worth a fresh look only if FY27 results actually deliver the guided ~29% revenue step-up with margin expansion.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2026-09-04T13:37:14.151Z</dcterms:created>
  <dcterms:modified xsi:type="dcterms:W3CDTF">2026-09-04T13:37:14.157Z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