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SAMHI Hotels Ltd</w:t>
      </w:r>
    </w:p>
    <w:p>
      <w:pPr>
        <w:pBdr>
          <w:bottom w:val="single" w:color="CCCCCC" w:sz="6" w:space="8"/>
        </w:pBdr>
        <w:spacing w:after="200"/>
      </w:pPr>
      <w:r>
        <w:rPr>
          <w:i/>
          <w:iCs/>
          <w:color w:val="666666"/>
          <w:sz w:val="22"/>
          <w:szCs w:val="22"/>
        </w:rPr>
        <w:t xml:space="preserve">Branded-hotel platform (~Rs 3,400 Cr, 31 hotels / ~4,900 keys) mid-way through a real operating turnaround - Q1 FY27 RevPAR +9.6%, occupancy 79%, EBITDA margin ~37%, GIC JV validation, EV/EBITDA ~8x FY28E vs peers 11-15x - but still carrying ~3.2x group net debt/EBITDA, deferred-tax-flattered headline earnings, a 0% promoter and a live Rs 750 Cr dilution overhang</w:t>
      </w:r>
    </w:p>
    <w:p>
      <w:pPr>
        <w:pStyle w:val="Heading1"/>
        <w:spacing w:after="120" w:before="280"/>
      </w:pPr>
      <w:r>
        <w:t xml:space="preserve">Business Overview</w:t>
      </w:r>
    </w:p>
    <w:p>
      <w:pPr>
        <w:spacing w:after="120"/>
      </w:pPr>
      <w:r>
        <w:t xml:space="preserve">SAMHI owns and operates 31 hotels (~4,904 keys) across 14 cities under 11 brands (Marriott, Hyatt, IHG affiliations), skewed to business/GCC-corridor markets (Bengaluru, Hyderabad, Pune). The model is 'capital recycling' - acquire distressed/under-managed hotels, re-brand and turn them around, then deleverage. A GIC joint venture holds 35% of three subsidiaries (five hotels), which paid down debt in two of them, and provides the vehicle for upper-scale expansion. New builds underway in Navi Mumbai (~700-key Westin + Fairfield), Whitefield Bengaluru (Westin + Tribute Portfolio, via the JV) and Hyderabad; an early-stage experiential B2C platform (RARE India, 70%) with Marriott, plus a small Itmenaan Lodges acquisition. No promoter - 0% promoter holding, PE/institutionally controlled (FII ~44%, DII ~16%).</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3,400 Cr (small/mid-cap); price ~Rs 153, trading near book (P/B ~1.05)</w:t>
            </w:r>
          </w:p>
        </w:tc>
      </w:tr>
      <w:tr>
        <w:tc>
          <w:tcPr>
            <w:tcW w:type="dxa" w:w="3200"/>
            <w:shd w:fill="F2F2F2" w:val="clear"/>
          </w:tcPr>
          <w:p>
            <w:r>
              <w:rPr>
                <w:b/>
                <w:bCs/>
              </w:rPr>
              <w:t xml:space="preserve">ROCE / ROE</w:t>
            </w:r>
          </w:p>
        </w:tc>
        <w:tc>
          <w:tcPr>
            <w:tcW w:type="dxa" w:w="5800"/>
          </w:tcPr>
          <w:p>
            <w:r>
              <w:t xml:space="preserve">ROCE ~9% (still below the cost of debt); FY26 ROE optically high on the deferred-tax-inflated PAT</w:t>
            </w:r>
          </w:p>
        </w:tc>
      </w:tr>
      <w:tr>
        <w:tc>
          <w:tcPr>
            <w:tcW w:type="dxa" w:w="3200"/>
            <w:shd w:fill="F2F2F2" w:val="clear"/>
          </w:tcPr>
          <w:p>
            <w:r>
              <w:rPr>
                <w:b/>
                <w:bCs/>
              </w:rPr>
              <w:t xml:space="preserve">Revenue growth</w:t>
            </w:r>
          </w:p>
        </w:tc>
        <w:tc>
          <w:tcPr>
            <w:tcW w:type="dxa" w:w="5800"/>
          </w:tcPr>
          <w:p>
            <w:r>
              <w:t xml:space="preserve">FY24-26 revenue Rs 957 / 1,130 / 1,283 Cr (~16% CAGR); Q1 FY27 comparable +10.8% YoY (reported +7.3% on GST change); management guides 9-11% long-term same-store</w:t>
            </w:r>
          </w:p>
        </w:tc>
      </w:tr>
      <w:tr>
        <w:tc>
          <w:tcPr>
            <w:tcW w:type="dxa" w:w="3200"/>
            <w:shd w:fill="F2F2F2" w:val="clear"/>
          </w:tcPr>
          <w:p>
            <w:r>
              <w:rPr>
                <w:b/>
                <w:bCs/>
              </w:rPr>
              <w:t xml:space="preserve">Margins</w:t>
            </w:r>
          </w:p>
        </w:tc>
        <w:tc>
          <w:tcPr>
            <w:tcW w:type="dxa" w:w="5800"/>
          </w:tcPr>
          <w:p>
            <w:r>
              <w:t xml:space="preserve">EBITDA margin 29.4% -&gt; 36.0% -&gt; 37.3% (FY24-26) on RevPAR-led operating leverage; Q1 FY27 EBITDA +12.1% comparable; GST rate change a near-term headwind; ARR/RevPAR ~Rs 5,220 with a stated path toward Rs 7,500-8,000</w:t>
            </w:r>
          </w:p>
        </w:tc>
      </w:tr>
      <w:tr>
        <w:tc>
          <w:tcPr>
            <w:tcW w:type="dxa" w:w="3200"/>
            <w:shd w:fill="F2F2F2" w:val="clear"/>
          </w:tcPr>
          <w:p>
            <w:r>
              <w:rPr>
                <w:b/>
                <w:bCs/>
              </w:rPr>
              <w:t xml:space="preserve">Cash flow / debt</w:t>
            </w:r>
          </w:p>
        </w:tc>
        <w:tc>
          <w:tcPr>
            <w:tcW w:type="dxa" w:w="5800"/>
          </w:tcPr>
          <w:p>
            <w:r>
              <w:t xml:space="preserve">CFO ~Rs 357 Cr FY25; net debt ~Rs 1,967 Cr; net debt/EBITDA ~3.2x at group (~2.4x on operating assets); the ~2.4x target is an FY28 goal, not 12-18 months; interest cost falling (Q4 FY26 Rs 37 Cr vs Rs 55 Cr YoY); Rs 750 Cr enabling resolution passed - use unspecified</w:t>
            </w:r>
          </w:p>
        </w:tc>
      </w:tr>
      <w:tr>
        <w:tc>
          <w:tcPr>
            <w:tcW w:type="dxa" w:w="3200"/>
            <w:shd w:fill="F2F2F2" w:val="clear"/>
          </w:tcPr>
          <w:p>
            <w:r>
              <w:rPr>
                <w:b/>
                <w:bCs/>
              </w:rPr>
              <w:t xml:space="preserve">Valuation</w:t>
            </w:r>
          </w:p>
        </w:tc>
        <w:tc>
          <w:tcPr>
            <w:tcW w:type="dxa" w:w="5800"/>
          </w:tcPr>
          <w:p>
            <w:r>
              <w:t xml:space="preserve">EV/EBITDA ~10-11x trailing, ~8x FY28E vs Chalet ~15x / Lemon Tree ~13x / Juniper ~11x; headline P/E ~10 flattered by a ~Rs 330 Cr non-cash deferred-tax credit (core multiple ~15-16x); 52-week range Rs 127 - 229</w:t>
            </w:r>
          </w:p>
        </w:tc>
      </w:tr>
    </w:tbl>
    <w:p>
      <w:pPr>
        <w:spacing w:after="100"/>
      </w:pPr>
    </w:p>
    <w:p>
      <w:pPr>
        <w:spacing w:after="120"/>
      </w:pPr>
      <w:r>
        <w:t xml:space="preserve">The operating turnaround is measurable and still running: 3-year revenue CAGR ~16%, EBITDA margin up ~800 bps to 37.3%, Q1 FY27 same-store RevPAR +9.6% and occupancy up to 79.3% from 74.2%, interest cost falling sharply, and GIC's Rs 752 Cr institutional capital validating the asset base (its Rs 2,200 Cr EV mark on three subsidiaries implies the rest of the business is available cheap). Demand tailwind from 1,600+ GCCs concentrated in SAMHI's core cities; domestic guests are now 82% of room-nights, which insulated the June quarter from inbound-travel weakness. The quality caveats are real and this pass sharpened them: leverage is still heavy (net debt ~Rs 1,967 Cr, net debt/EBITDA ~3.2x at group - not 'toward 2.5x'), FY26 headline PAT of Rs 566 Cr is ~2.4x flattered by a non-cash ~Rs 330 Cr deferred-tax-asset creation plus a ~Rs 27 Cr impairment reversal (core PAT ~Rs 230-240 Cr), ROCE (~9%) is below the cost of debt, there is no promoter, and the Rs 750 Cr enabling resolution is a live ~20%-of-mcap dilution overhang with unspecified use. Hotels remain cyclical and the current ~37% EBITDA margin is likely toward a cyclical peak.</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2026-09-04.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FY24-26 financials via screener.in / Trendlyne / investor PR - revenue Rs 957 / 1,130 / 1,283 Cr, EBITDA margin 29.4 / 36.0 / 37.3%, FY26 PAT Rs 566 Cr incl a ~Rs 330 Cr deferred-tax reversal; net debt ~Rs 1,967 Cr</w:t>
      </w:r>
    </w:p>
    <w:p>
      <w:pPr>
        <w:pStyle w:val="ListParagraph"/>
        <w:numPr>
          <w:ilvl w:val="0"/>
          <w:numId w:val="1"/>
        </w:numPr>
        <w:spacing w:after="60"/>
      </w:pPr>
      <w:r>
        <w:t xml:space="preserve">Q1 FY27 result + Aug-4-2026 concall - comparable total income +10.8% YoY to Rs 308 Cr, EBITDA +12.1%, same-store RevPAR +9.6% to Rs 5,220, occupancy 79.3%, domestic mix 82%</w:t>
      </w:r>
    </w:p>
    <w:p>
      <w:pPr>
        <w:pStyle w:val="ListParagraph"/>
        <w:numPr>
          <w:ilvl w:val="0"/>
          <w:numId w:val="1"/>
        </w:numPr>
        <w:spacing w:after="60"/>
      </w:pPr>
      <w:r>
        <w:t xml:space="preserve">BSE/NSE announcements Mar-Oct 2026 - GIC JV Rs 752 Cr, Rs 750 Cr enabling resolution, Navi Mumbai MIDC extension, RARE India 70%, Itmenaan Lodges, Antique 'Buy' (~+41%)</w:t>
      </w:r>
    </w:p>
    <w:p>
      <w:pPr>
        <w:spacing w:after="120"/>
      </w:pPr>
      <w:r>
        <w:rPr>
          <w:b/>
          <w:bCs/>
          <w:sz w:val="20"/>
          <w:szCs w:val="20"/>
        </w:rPr>
        <w:t xml:space="preserve">Annual-report findings (3-year view):</w:t>
      </w:r>
    </w:p>
    <w:p>
      <w:pPr>
        <w:pStyle w:val="ListParagraph"/>
        <w:numPr>
          <w:ilvl w:val="0"/>
          <w:numId w:val="1"/>
        </w:numPr>
        <w:spacing w:after="60"/>
      </w:pPr>
      <w:r>
        <w:t xml:space="preserve">3-year revenue CAGR ~16% (Rs 957 Cr -&gt; Rs 1,283 Cr); EBITDA margin expanded ~800 bps to 37.3% on RevPAR-led operating leverage plus a falling interest bill</w:t>
      </w:r>
    </w:p>
    <w:p>
      <w:pPr>
        <w:pStyle w:val="ListParagraph"/>
        <w:numPr>
          <w:ilvl w:val="0"/>
          <w:numId w:val="1"/>
        </w:numPr>
        <w:spacing w:after="60"/>
      </w:pPr>
      <w:r>
        <w:t xml:space="preserve">FY26 reported PAT Rs 566 Cr is ~2.4x flattered by a ~Rs 330 Cr non-cash deferred-tax-asset creation + a ~Rs 27 Cr impairment reversal; core PAT ~Rs 230-240 Cr</w:t>
      </w:r>
    </w:p>
    <w:p>
      <w:pPr>
        <w:pStyle w:val="ListParagraph"/>
        <w:numPr>
          <w:ilvl w:val="0"/>
          <w:numId w:val="1"/>
        </w:numPr>
        <w:spacing w:after="60"/>
      </w:pPr>
      <w:r>
        <w:t xml:space="preserve">Leverage still heavy: net debt ~Rs 1,967 Cr, net debt/EBITDA ~3.2x at group (~2.4x on operating assets); interest cost falling (Q4 FY26 Rs 37 Cr vs Rs 55 Cr YoY)</w:t>
      </w:r>
    </w:p>
    <w:p>
      <w:pPr>
        <w:pStyle w:val="ListParagraph"/>
        <w:numPr>
          <w:ilvl w:val="0"/>
          <w:numId w:val="1"/>
        </w:numPr>
        <w:spacing w:after="60"/>
      </w:pPr>
      <w:r>
        <w:t xml:space="preserve">No promoter - 0% promoter holding, PE/institutionally controlled (FII ~44%, DII ~16%); capital-recycling model = buy distressed hotels below replacement cost, re-brand under Marriott/Hyatt/IHG, turn around, deleverage</w:t>
      </w:r>
    </w:p>
    <w:p>
      <w:pPr>
        <w:pStyle w:val="ListParagraph"/>
        <w:numPr>
          <w:ilvl w:val="0"/>
          <w:numId w:val="1"/>
        </w:numPr>
        <w:spacing w:after="60"/>
      </w:pPr>
      <w:r>
        <w:t xml:space="preserve">GIC JV (35% of three subsidiaries, Rs 752 Cr; Rs 603 Cr upfront to cut debt + Rs 149 Cr Whitefield capex, Rs 2,200 Cr EV) validates asset marks; ~Rs 752 Cr NCI now on the balance sheet</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Q1 FY27: comparable total income +10.8% YoY to Rs 308 Cr, EBITDA +12.1%, same-store RevPAR +9.6% to Rs 5,220, occupancy 79.3% (from 74.2%)</w:t>
      </w:r>
    </w:p>
    <w:p>
      <w:pPr>
        <w:pStyle w:val="ListParagraph"/>
        <w:numPr>
          <w:ilvl w:val="0"/>
          <w:numId w:val="1"/>
        </w:numPr>
        <w:spacing w:after="60"/>
      </w:pPr>
      <w:r>
        <w:t xml:space="preserve">Domestic guests rose to 82% of room-nights (from 78%) - insulated the quarter from Middle-East / inbound-travel weakness</w:t>
      </w:r>
    </w:p>
    <w:p>
      <w:pPr>
        <w:pStyle w:val="ListParagraph"/>
        <w:numPr>
          <w:ilvl w:val="0"/>
          <w:numId w:val="1"/>
        </w:numPr>
        <w:spacing w:after="60"/>
      </w:pPr>
      <w:r>
        <w:t xml:space="preserve">GST rate change flagged as a margin headwind; reported growth muted at +7.3% vs +10.8% comparable</w:t>
      </w:r>
    </w:p>
    <w:p>
      <w:pPr>
        <w:pStyle w:val="ListParagraph"/>
        <w:numPr>
          <w:ilvl w:val="0"/>
          <w:numId w:val="1"/>
        </w:numPr>
        <w:spacing w:after="60"/>
      </w:pPr>
      <w:r>
        <w:t xml:space="preserve">Concall tone confident on demand; reiterated 9-11% long-term same-store growth and net debt/EBITDA ~2.4x by FY28</w:t>
      </w:r>
    </w:p>
    <w:p>
      <w:pPr>
        <w:spacing w:after="120"/>
      </w:pPr>
      <w:r>
        <w:rPr>
          <w:b/>
          <w:bCs/>
          <w:sz w:val="20"/>
          <w:szCs w:val="20"/>
        </w:rPr>
        <w:t xml:space="preserve">Exchange announcements (last 6 months):</w:t>
      </w:r>
    </w:p>
    <w:p>
      <w:pPr>
        <w:pStyle w:val="ListParagraph"/>
        <w:numPr>
          <w:ilvl w:val="0"/>
          <w:numId w:val="1"/>
        </w:numPr>
        <w:spacing w:after="60"/>
      </w:pPr>
      <w:r>
        <w:t xml:space="preserve">Mar 2026: acquired 70% of RARE India (experiential B2C travel platform, with Marriott); acquired Itmenaan Lodges</w:t>
      </w:r>
    </w:p>
    <w:p>
      <w:pPr>
        <w:pStyle w:val="ListParagraph"/>
        <w:numPr>
          <w:ilvl w:val="0"/>
          <w:numId w:val="1"/>
        </w:numPr>
        <w:spacing w:after="60"/>
      </w:pPr>
      <w:r>
        <w:t xml:space="preserve">Q1 FY27 (Aug 2026): board approved a Rs 750 Cr enabling resolution (equity/convertibles) - purpose unspecified, ~20%-of-mcap dilution overhang</w:t>
      </w:r>
    </w:p>
    <w:p>
      <w:pPr>
        <w:pStyle w:val="ListParagraph"/>
        <w:numPr>
          <w:ilvl w:val="0"/>
          <w:numId w:val="1"/>
        </w:numPr>
        <w:spacing w:after="60"/>
      </w:pPr>
      <w:r>
        <w:t xml:space="preserve">2026: MIDC approved an extension for the ~700-key Navi Mumbai dual-branded Westin + Fairfield project (largest single development)</w:t>
      </w:r>
    </w:p>
    <w:p>
      <w:pPr>
        <w:pStyle w:val="ListParagraph"/>
        <w:numPr>
          <w:ilvl w:val="0"/>
          <w:numId w:val="1"/>
        </w:numPr>
        <w:spacing w:after="60"/>
      </w:pPr>
      <w:r>
        <w:t xml:space="preserve">Whitefield Bengaluru dual-branded Westin + Tribute Portfolio funded via the GIC JV</w:t>
      </w:r>
    </w:p>
    <w:p>
      <w:pPr>
        <w:pStyle w:val="ListParagraph"/>
        <w:numPr>
          <w:ilvl w:val="0"/>
          <w:numId w:val="1"/>
        </w:numPr>
        <w:spacing w:after="60"/>
      </w:pPr>
      <w:r>
        <w:t xml:space="preserve">Antique initiated/reiterated 'Buy', ~+41% upside on growth tailwinds</w:t>
      </w:r>
    </w:p>
    <w:p>
      <w:pPr>
        <w:spacing w:after="120"/>
      </w:pPr>
      <w:r>
        <w:rPr>
          <w:b/>
          <w:bCs/>
          <w:sz w:val="20"/>
          <w:szCs w:val="20"/>
        </w:rPr>
        <w:t xml:space="preserve">Key new facts vs. the prior write-up:</w:t>
      </w:r>
    </w:p>
    <w:p>
      <w:pPr>
        <w:pStyle w:val="ListParagraph"/>
        <w:numPr>
          <w:ilvl w:val="0"/>
          <w:numId w:val="1"/>
        </w:numPr>
        <w:spacing w:after="60"/>
      </w:pPr>
      <w:r>
        <w:t xml:space="preserve">Deleveraging is slower and heavier than the prior write-up implied - net debt/EBITDA ~3.2x at group now, and the 2.4x figure is an FY28 target, not a 12-18-month one</w:t>
      </w:r>
    </w:p>
    <w:p>
      <w:pPr>
        <w:pStyle w:val="ListParagraph"/>
        <w:numPr>
          <w:ilvl w:val="0"/>
          <w:numId w:val="1"/>
        </w:numPr>
        <w:spacing w:after="60"/>
      </w:pPr>
      <w:r>
        <w:t xml:space="preserve">Headline P/E ~10 is misleading - on core (ex-deferred-tax) earnings the multiple is ~15-16x; EV/EBITDA ~10-11x trailing, ~8x only on FY28E</w:t>
      </w:r>
    </w:p>
    <w:p>
      <w:pPr>
        <w:pStyle w:val="ListParagraph"/>
        <w:numPr>
          <w:ilvl w:val="0"/>
          <w:numId w:val="1"/>
        </w:numPr>
        <w:spacing w:after="60"/>
      </w:pPr>
      <w:r>
        <w:t xml:space="preserve">0% promoter holding confirmed - no promoter skin-in-the-game; the 'management walking the talk' view refers to the professional management team</w:t>
      </w:r>
    </w:p>
    <w:p>
      <w:pPr>
        <w:spacing w:after="120"/>
      </w:pPr>
      <w:r>
        <w:rPr>
          <w:b/>
          <w:bCs/>
          <w:sz w:val="20"/>
          <w:szCs w:val="20"/>
        </w:rPr>
        <w:t xml:space="preserve">Open questions / what to watch:</w:t>
      </w:r>
    </w:p>
    <w:p>
      <w:pPr>
        <w:pStyle w:val="ListParagraph"/>
        <w:numPr>
          <w:ilvl w:val="0"/>
          <w:numId w:val="1"/>
        </w:numPr>
        <w:spacing w:after="60"/>
      </w:pPr>
      <w:r>
        <w:t xml:space="preserve">Use of the Rs 750 Cr raise - debt paydown vs distressed-asset M&amp;A vs new-build capex; timing and dilution price</w:t>
      </w:r>
    </w:p>
    <w:p>
      <w:pPr>
        <w:pStyle w:val="ListParagraph"/>
        <w:numPr>
          <w:ilvl w:val="0"/>
          <w:numId w:val="1"/>
        </w:numPr>
        <w:spacing w:after="60"/>
      </w:pPr>
      <w:r>
        <w:t xml:space="preserve">Commissioning timelines for Navi Mumbai / Whitefield / Hyderabad builds and the funding split (JV vs balance sheet)</w:t>
      </w:r>
    </w:p>
    <w:p>
      <w:pPr>
        <w:pStyle w:val="ListParagraph"/>
        <w:numPr>
          <w:ilvl w:val="0"/>
          <w:numId w:val="1"/>
        </w:numPr>
        <w:spacing w:after="60"/>
      </w:pPr>
      <w:r>
        <w:t xml:space="preserve">Whether the GST change is a one-off reset or a persistent margin drag</w:t>
      </w:r>
    </w:p>
    <w:p>
      <w:pPr>
        <w:pStyle w:val="ListParagraph"/>
        <w:numPr>
          <w:ilvl w:val="0"/>
          <w:numId w:val="1"/>
        </w:numPr>
        <w:spacing w:after="60"/>
      </w:pPr>
      <w:r>
        <w:t xml:space="preserve">RPT detail from the annual reports not verified this pass</w:t>
      </w:r>
    </w:p>
    <w:p>
      <w:pPr>
        <w:spacing w:after="120" w:before="120"/>
      </w:pPr>
      <w:r>
        <w:rPr>
          <w:b/>
          <w:bCs/>
          <w:sz w:val="20"/>
          <w:szCs w:val="20"/>
        </w:rPr>
        <w:t xml:space="preserve">Conviction impact: </w:t>
      </w:r>
      <w:r>
        <w:rPr>
          <w:sz w:val="20"/>
          <w:szCs w:val="20"/>
        </w:rPr>
        <w:t xml:space="preserve">Medium-High -&gt; Medium. The operating turnaround is real (RevPAR, occupancy and margin all inflecting) and GIC validates the asset base, but the filings show heavier leverage (~3.2x group net debt/EBITDA), lower-quality core earnings (headline PAT ~2.4x flattered by a non-cash deferred-tax credit), a 0% promoter, and a live ~Rs 750 Cr dilution overhang - a notch below the prior read.</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balance_sheet</w:t>
            </w:r>
          </w:p>
        </w:tc>
        <w:tc>
          <w:tcPr>
            <w:tcW w:type="dxa" w:w="2600"/>
          </w:tcPr>
          <w:p>
            <w:r>
              <w:rPr>
                <w:b w:val="false"/>
                <w:bCs w:val="false"/>
                <w:sz w:val="18"/>
                <w:szCs w:val="18"/>
              </w:rPr>
              <w:t xml:space="preserve">Net debt/EBITDA to ~2.4x by FY28</w:t>
            </w:r>
          </w:p>
        </w:tc>
        <w:tc>
          <w:tcPr>
            <w:tcW w:type="dxa" w:w="2400"/>
          </w:tcPr>
          <w:p>
            <w:r>
              <w:rPr>
                <w:b w:val="false"/>
                <w:bCs w:val="false"/>
                <w:sz w:val="18"/>
                <w:szCs w:val="18"/>
              </w:rPr>
              <w:t xml:space="preserve">~3.2x at group now; GIC Rs 603 Cr upfront already applied to debt paydown</w:t>
            </w:r>
          </w:p>
        </w:tc>
        <w:tc>
          <w:tcPr>
            <w:tcW w:type="dxa" w:w="900"/>
          </w:tcPr>
          <w:p>
            <w:r>
              <w:rPr>
                <w:b w:val="false"/>
                <w:bCs w:val="false"/>
                <w:sz w:val="18"/>
                <w:szCs w:val="18"/>
              </w:rPr>
              <w:t xml:space="preserve">FY28</w:t>
            </w:r>
          </w:p>
        </w:tc>
        <w:tc>
          <w:tcPr>
            <w:tcW w:type="dxa" w:w="1200"/>
          </w:tcPr>
          <w:p>
            <w:r>
              <w:rPr>
                <w:b w:val="false"/>
                <w:bCs w:val="false"/>
                <w:sz w:val="18"/>
                <w:szCs w:val="18"/>
              </w:rPr>
              <w:t xml:space="preserve">action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capacity</w:t>
            </w:r>
          </w:p>
        </w:tc>
        <w:tc>
          <w:tcPr>
            <w:tcW w:type="dxa" w:w="2600"/>
          </w:tcPr>
          <w:p>
            <w:r>
              <w:rPr>
                <w:b w:val="false"/>
                <w:bCs w:val="false"/>
                <w:sz w:val="18"/>
                <w:szCs w:val="18"/>
              </w:rPr>
              <w:t xml:space="preserve">New builds: Navi Mumbai (~700 keys), Whitefield Bengaluru, Hyderabad</w:t>
            </w:r>
          </w:p>
        </w:tc>
        <w:tc>
          <w:tcPr>
            <w:tcW w:type="dxa" w:w="2400"/>
          </w:tcPr>
          <w:p>
            <w:r>
              <w:rPr>
                <w:b w:val="false"/>
                <w:bCs w:val="false"/>
                <w:sz w:val="18"/>
                <w:szCs w:val="18"/>
              </w:rPr>
              <w:t xml:space="preserve">Navi Mumbai Westin + Fairfield ~700 keys (MIDC extension approved); Whitefield Westin + Tribute via the GIC JV</w:t>
            </w:r>
          </w:p>
        </w:tc>
        <w:tc>
          <w:tcPr>
            <w:tcW w:type="dxa" w:w="900"/>
          </w:tcPr>
          <w:p>
            <w:r>
              <w:rPr>
                <w:b w:val="false"/>
                <w:bCs w:val="false"/>
                <w:sz w:val="18"/>
                <w:szCs w:val="18"/>
              </w:rPr>
              <w:t xml:space="preserve">beyond</w:t>
            </w:r>
          </w:p>
        </w:tc>
        <w:tc>
          <w:tcPr>
            <w:tcW w:type="dxa" w:w="1200"/>
          </w:tcPr>
          <w:p>
            <w:r>
              <w:rPr>
                <w:b w:val="false"/>
                <w:bCs w:val="false"/>
                <w:sz w:val="18"/>
                <w:szCs w:val="18"/>
              </w:rPr>
              <w:t xml:space="preserve">action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9-11% long-term same-store revenue growth</w:t>
            </w:r>
          </w:p>
        </w:tc>
        <w:tc>
          <w:tcPr>
            <w:tcW w:type="dxa" w:w="2400"/>
          </w:tcPr>
          <w:p>
            <w:r>
              <w:rPr>
                <w:b w:val="false"/>
                <w:bCs w:val="false"/>
                <w:sz w:val="18"/>
                <w:szCs w:val="18"/>
              </w:rPr>
              <w:t xml:space="preserve">same-store; reiterated Q1 FY27 concall; Q1 FY27 comparable printed +10.8%</w:t>
            </w:r>
          </w:p>
        </w:tc>
        <w:tc>
          <w:tcPr>
            <w:tcW w:type="dxa" w:w="900"/>
          </w:tcPr>
          <w:p>
            <w:r>
              <w:rPr>
                <w:b w:val="false"/>
                <w:bCs w:val="false"/>
                <w:sz w:val="18"/>
                <w:szCs w:val="18"/>
              </w:rPr>
              <w:t xml:space="preserve">beyond</w:t>
            </w:r>
          </w:p>
        </w:tc>
        <w:tc>
          <w:tcPr>
            <w:tcW w:type="dxa" w:w="1200"/>
          </w:tcPr>
          <w:p>
            <w:r>
              <w:rPr>
                <w:b w:val="false"/>
                <w:bCs w:val="false"/>
                <w:sz w:val="18"/>
                <w:szCs w:val="18"/>
              </w:rPr>
              <w:t xml:space="preserve">financial</w:t>
            </w:r>
          </w:p>
        </w:tc>
        <w:tc>
          <w:tcPr>
            <w:tcW w:type="dxa" w:w="800"/>
          </w:tcPr>
          <w:p>
            <w:r>
              <w:rPr>
                <w:b w:val="false"/>
                <w:bCs w:val="false"/>
                <w:sz w:val="18"/>
                <w:szCs w:val="18"/>
              </w:rPr>
              <w:t xml:space="preserve"/>
            </w:r>
          </w:p>
        </w:tc>
      </w:tr>
      <w:tr>
        <w:tc>
          <w:tcPr>
            <w:tcW w:type="dxa" w:w="1100"/>
          </w:tcPr>
          <w:p>
            <w:r>
              <w:rPr>
                <w:b w:val="false"/>
                <w:bCs w:val="false"/>
                <w:sz w:val="18"/>
                <w:szCs w:val="18"/>
              </w:rPr>
              <w:t xml:space="preserve">strategy</w:t>
            </w:r>
          </w:p>
        </w:tc>
        <w:tc>
          <w:tcPr>
            <w:tcW w:type="dxa" w:w="2600"/>
          </w:tcPr>
          <w:p>
            <w:r>
              <w:rPr>
                <w:b w:val="false"/>
                <w:bCs w:val="false"/>
                <w:sz w:val="18"/>
                <w:szCs w:val="18"/>
              </w:rPr>
              <w:t xml:space="preserve">Rs 750 Cr capital raise (enabling resolution)</w:t>
            </w:r>
          </w:p>
        </w:tc>
        <w:tc>
          <w:tcPr>
            <w:tcW w:type="dxa" w:w="2400"/>
          </w:tcPr>
          <w:p>
            <w:r>
              <w:rPr>
                <w:b w:val="false"/>
                <w:bCs w:val="false"/>
                <w:sz w:val="18"/>
                <w:szCs w:val="18"/>
              </w:rPr>
              <w:t xml:space="preserve">equity/convertibles; use unspecified; ~20% of current mcap</w:t>
            </w:r>
          </w:p>
        </w:tc>
        <w:tc>
          <w:tcPr>
            <w:tcW w:type="dxa" w:w="900"/>
          </w:tcPr>
          <w:p>
            <w:r>
              <w:rPr>
                <w:b w:val="false"/>
                <w:bCs w:val="false"/>
                <w:sz w:val="18"/>
                <w:szCs w:val="18"/>
              </w:rPr>
              <w:t xml:space="preserve">12M</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Aspiration to ~Rs 3,000 Cr revenue from a ~Rs 1,200 Cr base</w:t>
            </w:r>
          </w:p>
        </w:tc>
        <w:tc>
          <w:tcPr>
            <w:tcW w:type="dxa" w:w="2400"/>
          </w:tcPr>
          <w:p>
            <w:r>
              <w:rPr>
                <w:b w:val="false"/>
                <w:bCs w:val="false"/>
                <w:sz w:val="18"/>
                <w:szCs w:val="18"/>
              </w:rPr>
              <w:t xml:space="preserve">multi-year, new-build-led</w:t>
            </w:r>
          </w:p>
        </w:tc>
        <w:tc>
          <w:tcPr>
            <w:tcW w:type="dxa" w:w="900"/>
          </w:tcPr>
          <w:p>
            <w:r>
              <w:rPr>
                <w:b w:val="false"/>
                <w:bCs w:val="false"/>
                <w:sz w:val="18"/>
                <w:szCs w:val="18"/>
              </w:rPr>
              <w:t xml:space="preserve">beyond</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distressed-hotel acquisitions + re-branding</w:t>
      </w:r>
      <w:r>
        <w:rPr>
          <w:color w:val="666666"/>
          <w:sz w:val="20"/>
          <w:szCs w:val="20"/>
        </w:rPr>
        <w:t xml:space="preserve"> → </w:t>
      </w:r>
      <w:r>
        <w:rPr>
          <w:b w:val="false"/>
          <w:bCs w:val="false"/>
          <w:sz w:val="20"/>
          <w:szCs w:val="20"/>
        </w:rPr>
        <w:t xml:space="preserve">RevPAR + occupancy uplift (turnaround)</w:t>
      </w:r>
      <w:r>
        <w:rPr>
          <w:color w:val="666666"/>
          <w:sz w:val="20"/>
          <w:szCs w:val="20"/>
        </w:rPr>
        <w:t xml:space="preserve"> → </w:t>
      </w:r>
      <w:r>
        <w:rPr>
          <w:b w:val="false"/>
          <w:bCs w:val="false"/>
          <w:sz w:val="20"/>
          <w:szCs w:val="20"/>
        </w:rPr>
        <w:t xml:space="preserve">asset EBITDA growth + operating leverage</w:t>
      </w:r>
      <w:r>
        <w:rPr>
          <w:color w:val="666666"/>
          <w:sz w:val="20"/>
          <w:szCs w:val="20"/>
        </w:rPr>
        <w:t xml:space="preserve"> → </w:t>
      </w:r>
      <w:r>
        <w:rPr>
          <w:b/>
          <w:bCs/>
          <w:color w:val="A32020"/>
          <w:sz w:val="20"/>
          <w:szCs w:val="20"/>
        </w:rPr>
        <w:t xml:space="preserve">interest-cost reduction (deleveraging)</w:t>
      </w:r>
      <w:r>
        <w:rPr>
          <w:color w:val="666666"/>
          <w:sz w:val="20"/>
          <w:szCs w:val="20"/>
        </w:rPr>
        <w:t xml:space="preserve"> → </w:t>
      </w:r>
      <w:r>
        <w:rPr>
          <w:b w:val="false"/>
          <w:bCs w:val="false"/>
          <w:sz w:val="20"/>
          <w:szCs w:val="20"/>
        </w:rPr>
        <w:t xml:space="preserve">core PAT / FCF</w:t>
      </w:r>
      <w:r>
        <w:rPr>
          <w:color w:val="666666"/>
          <w:sz w:val="20"/>
          <w:szCs w:val="20"/>
        </w:rPr>
        <w:t xml:space="preserve"> → </w:t>
      </w:r>
      <w:r>
        <w:rPr>
          <w:b w:val="false"/>
          <w:bCs w:val="false"/>
          <w:sz w:val="20"/>
          <w:szCs w:val="20"/>
        </w:rPr>
        <w:t xml:space="preserve">further debt paydown / new-build capex</w:t>
      </w:r>
    </w:p>
    <w:p>
      <w:pPr>
        <w:spacing w:after="120"/>
      </w:pPr>
      <w:r>
        <w:rPr>
          <w:color w:val="666666"/>
          <w:sz w:val="18"/>
          <w:szCs w:val="18"/>
        </w:rPr>
        <w:t xml:space="preserve">Bottleneck link: interest-cost reduction (deleveraging).</w:t>
      </w:r>
    </w:p>
    <w:p>
      <w:pPr>
        <w:spacing w:after="120"/>
      </w:pPr>
      <w:r>
        <w:rPr>
          <w:color w:val="666666"/>
          <w:sz w:val="18"/>
          <w:szCs w:val="18"/>
        </w:rPr>
        <w:t xml:space="preserve">Operating leverage: yes - EBITDA margin expanded ~800 bps in three years on RevPAR-led operating leverage on a largely fixed cost base</w:t>
      </w:r>
    </w:p>
    <w:p>
      <w:pPr>
        <w:spacing w:after="120"/>
      </w:pPr>
      <w:r>
        <w:rPr>
          <w:color w:val="666666"/>
          <w:sz w:val="18"/>
          <w:szCs w:val="18"/>
        </w:rPr>
        <w:t xml:space="preserve">Evidenced: distressed-hotel acquisitions + re-branding; RevPAR + occupancy uplift (turnaround); asset EBITDA growth + operating leverage; interest-cost reduction (deleveraging). Still assumed: core PAT / FCF; further debt paydown / new-build capex.</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2026-09-04</w:t>
            </w:r>
          </w:p>
        </w:tc>
      </w:tr>
      <w:tr>
        <w:tc>
          <w:tcPr>
            <w:tcW w:type="dxa" w:w="3200"/>
            <w:shd w:fill="F2F2F2" w:val="clear"/>
          </w:tcPr>
          <w:p>
            <w:r>
              <w:rPr>
                <w:b/>
                <w:bCs/>
              </w:rPr>
              <w:t xml:space="preserve">Price / multiple</w:t>
            </w:r>
          </w:p>
        </w:tc>
        <w:tc>
          <w:tcPr>
            <w:tcW w:type="dxa" w:w="5800"/>
          </w:tcPr>
          <w:p>
            <w:r>
              <w:t xml:space="preserve">Rs 153 · 10x P/E · 10.5x EV/EBITDA</w:t>
            </w:r>
          </w:p>
        </w:tc>
      </w:tr>
      <w:tr>
        <w:tc>
          <w:tcPr>
            <w:tcW w:type="dxa" w:w="3200"/>
            <w:shd w:fill="F2F2F2" w:val="clear"/>
          </w:tcPr>
          <w:p>
            <w:r>
              <w:rPr>
                <w:b/>
                <w:bCs/>
              </w:rPr>
              <w:t xml:space="preserve">Right valuation lens</w:t>
            </w:r>
          </w:p>
        </w:tc>
        <w:tc>
          <w:tcPr>
            <w:tcW w:type="dxa" w:w="5800"/>
          </w:tcPr>
          <w:p>
            <w:r>
              <w:t xml:space="preserve">EV/EBITDA</w:t>
            </w:r>
          </w:p>
        </w:tc>
      </w:tr>
      <w:tr>
        <w:tc>
          <w:tcPr>
            <w:tcW w:type="dxa" w:w="3200"/>
            <w:shd w:fill="F2F2F2" w:val="clear"/>
          </w:tcPr>
          <w:p>
            <w:r>
              <w:rPr>
                <w:b/>
                <w:bCs/>
              </w:rPr>
              <w:t xml:space="preserve">Price implies</w:t>
            </w:r>
          </w:p>
        </w:tc>
        <w:tc>
          <w:tcPr>
            <w:tcW w:type="dxa" w:w="5800"/>
          </w:tcPr>
          <w:p>
            <w:r>
              <w:t xml:space="preserve">At ~10-11x trailing EV/EBITDA and ~1.05x book, the market prices roughly a 10-12% EBITDA CAGR FY26-28 with a slow deleverage - about a fair steady-state hotel-owner multiple (~10-13x exit), not a turnaround re-rating</w:t>
            </w:r>
          </w:p>
        </w:tc>
      </w:tr>
      <w:tr>
        <w:tc>
          <w:tcPr>
            <w:tcW w:type="dxa" w:w="3200"/>
            <w:shd w:fill="F2F2F2" w:val="clear"/>
          </w:tcPr>
          <w:p>
            <w:r>
              <w:rPr>
                <w:b/>
                <w:bCs/>
              </w:rPr>
              <w:t xml:space="preserve">Our FY27</w:t>
            </w:r>
          </w:p>
        </w:tc>
        <w:tc>
          <w:tcPr>
            <w:tcW w:type="dxa" w:w="5800"/>
          </w:tcPr>
          <w:p>
            <w:r>
              <w:t xml:space="preserve">revenue +9-11% same-store, group EBITDA ~Rs 520-540 Cr, core PAT ~Rs 250-280 Cr, net debt/EBITDA edging to ~3.0x</w:t>
            </w:r>
          </w:p>
        </w:tc>
      </w:tr>
      <w:tr>
        <w:tc>
          <w:tcPr>
            <w:tcW w:type="dxa" w:w="3200"/>
            <w:shd w:fill="F2F2F2" w:val="clear"/>
          </w:tcPr>
          <w:p>
            <w:r>
              <w:rPr>
                <w:b/>
                <w:bCs/>
              </w:rPr>
              <w:t xml:space="preserve">Our FY28</w:t>
            </w:r>
          </w:p>
        </w:tc>
        <w:tc>
          <w:tcPr>
            <w:tcW w:type="dxa" w:w="5800"/>
          </w:tcPr>
          <w:p>
            <w:r>
              <w:t xml:space="preserve">EBITDA ~Rs 600-680 Cr as GIC-JV assets ramp; net debt/EBITDA ~2.4-2.6x; re-rating optionality if new builds are funded without heavy dilution</w:t>
            </w:r>
          </w:p>
        </w:tc>
      </w:tr>
      <w:tr>
        <w:tc>
          <w:tcPr>
            <w:tcW w:type="dxa" w:w="3200"/>
            <w:shd w:fill="F2F2F2" w:val="clear"/>
          </w:tcPr>
          <w:p>
            <w:r>
              <w:rPr>
                <w:b/>
                <w:bCs/>
              </w:rPr>
              <w:t xml:space="preserve">Gap direction</w:t>
            </w:r>
          </w:p>
        </w:tc>
        <w:tc>
          <w:tcPr>
            <w:tcW w:type="dxa" w:w="5800"/>
          </w:tcPr>
          <w:p>
            <w:r>
              <w:t xml:space="preserve">partially-priced</w:t>
            </w:r>
          </w:p>
        </w:tc>
      </w:tr>
      <w:tr>
        <w:tc>
          <w:tcPr>
            <w:tcW w:type="dxa" w:w="3200"/>
            <w:shd w:fill="F2F2F2" w:val="clear"/>
          </w:tcPr>
          <w:p>
            <w:r>
              <w:rPr>
                <w:b/>
                <w:bCs/>
              </w:rPr>
              <w:t xml:space="preserve">Gap type</w:t>
            </w:r>
          </w:p>
        </w:tc>
        <w:tc>
          <w:tcPr>
            <w:tcW w:type="dxa" w:w="5800"/>
          </w:tcPr>
          <w:p>
            <w:r>
              <w:t xml:space="preserve">duration</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the market prices the same-store turnaround but gives little credit for the new-build pipeline, further interest-cost reduction, or a re-rating to peer multiples; offset by the Rs 750 Cr dilution overhang and asset-heavy cyclicality</w:t>
            </w:r>
          </w:p>
        </w:tc>
      </w:tr>
      <w:tr>
        <w:tc>
          <w:tcPr>
            <w:tcW w:type="dxa" w:w="3200"/>
            <w:shd w:fill="F2F2F2" w:val="clear"/>
          </w:tcPr>
          <w:p>
            <w:r>
              <w:rPr>
                <w:b/>
                <w:bCs/>
              </w:rPr>
              <w:t xml:space="preserve">Evidence quality</w:t>
            </w:r>
          </w:p>
        </w:tc>
        <w:tc>
          <w:tcPr>
            <w:tcW w:type="dxa" w:w="5800"/>
          </w:tcPr>
          <w:p>
            <w:r>
              <w:t xml:space="preserve">monitor</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Clarity on the use of the Rs 750 Cr raise + a Q2/Q3 FY27 print showing net debt/EBITDA stepping toward ~3.0x</w:t>
      </w:r>
      <w:r>
        <w:rPr>
          <w:color w:val="666666"/>
          <w:sz w:val="18"/>
          <w:szCs w:val="18"/>
        </w:rPr>
        <w:t xml:space="preserve"> (window ~6M from 2026-09-04; undated; evidence med; pending)</w:t>
      </w:r>
    </w:p>
    <w:p>
      <w:pPr>
        <w:pStyle w:val="Heading1"/>
        <w:spacing w:after="120" w:before="280"/>
      </w:pPr>
      <w:r>
        <w:t xml:space="preserve">Ishmohit-Lens Checks (value chain · earnings quality · growth trajectory · management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India branded-hotel upcycle / GCC-corridor corporate demand</w:t>
            </w:r>
          </w:p>
        </w:tc>
      </w:tr>
      <w:tr>
        <w:tc>
          <w:tcPr>
            <w:tcW w:type="dxa" w:w="3200"/>
            <w:shd w:fill="F2F2F2" w:val="clear"/>
          </w:tcPr>
          <w:p>
            <w:r>
              <w:rPr>
                <w:b/>
                <w:bCs/>
              </w:rPr>
              <w:t xml:space="preserve">This company's position</w:t>
            </w:r>
          </w:p>
        </w:tc>
        <w:tc>
          <w:tcPr>
            <w:tcW w:type="dxa" w:w="5800"/>
          </w:tcPr>
          <w:p>
            <w:r>
              <w:t xml:space="preserve">asset-owner + operator of turned-around mid-to-upscale hotels on licensed Marriott/Hyatt/IHG brands, business-district skew</w:t>
            </w:r>
          </w:p>
        </w:tc>
      </w:tr>
      <w:tr>
        <w:tc>
          <w:tcPr>
            <w:tcW w:type="dxa" w:w="3200"/>
            <w:shd w:fill="F2F2F2" w:val="clear"/>
          </w:tcPr>
          <w:p>
            <w:r>
              <w:rPr>
                <w:b/>
                <w:bCs/>
              </w:rPr>
              <w:t xml:space="preserve">Bottleneck node (pricing power)</w:t>
            </w:r>
          </w:p>
        </w:tc>
        <w:tc>
          <w:tcPr>
            <w:tcW w:type="dxa" w:w="5800"/>
          </w:tcPr>
          <w:p>
            <w:r>
              <w:t xml:space="preserve">prime business-district land + brand allotment + balance-sheet capacity for capex</w:t>
            </w:r>
          </w:p>
        </w:tc>
      </w:tr>
      <w:tr>
        <w:tc>
          <w:tcPr>
            <w:tcW w:type="dxa" w:w="3200"/>
            <w:shd w:fill="F2F2F2" w:val="clear"/>
          </w:tcPr>
          <w:p>
            <w:r>
              <w:rPr>
                <w:b/>
                <w:bCs/>
              </w:rPr>
              <w:t xml:space="preserve">Supply-side status</w:t>
            </w:r>
          </w:p>
        </w:tc>
        <w:tc>
          <w:tcPr>
            <w:tcW w:type="dxa" w:w="5800"/>
          </w:tcPr>
          <w:p>
            <w:r>
              <w:t xml:space="preserve">adding</w:t>
            </w:r>
          </w:p>
        </w:tc>
      </w:tr>
      <w:tr>
        <w:tc>
          <w:tcPr>
            <w:tcW w:type="dxa" w:w="3200"/>
            <w:shd w:fill="F2F2F2" w:val="clear"/>
          </w:tcPr>
          <w:p>
            <w:r>
              <w:rPr>
                <w:b/>
                <w:bCs/>
              </w:rPr>
              <w:t xml:space="preserve">Adjacent-node peers</w:t>
            </w:r>
          </w:p>
        </w:tc>
        <w:tc>
          <w:tcPr>
            <w:tcW w:type="dxa" w:w="5800"/>
          </w:tcPr>
          <w:p>
            <w:r>
              <w:t xml:space="preserve">Chalet Hotels, Lemon Tree Hotels, Juniper Hotels, Indian Hotels (IHCL)</w:t>
            </w:r>
          </w:p>
        </w:tc>
      </w:tr>
    </w:tbl>
    <w:p>
      <w:pPr>
        <w:spacing w:after="120"/>
      </w:pPr>
      <w:r>
        <w:rPr>
          <w:color w:val="666666"/>
          <w:sz w:val="18"/>
          <w:szCs w:val="18"/>
        </w:rPr>
        <w:t xml:space="preserve">Three years of strong RevPAR are pulling new supply back into SAMHI's core markets - a late-upcycle position. SAMHI's edge is buying distressed assets below replacement cost and re-branding, not pricing power.</w:t>
      </w:r>
    </w:p>
    <w:p>
      <w:pPr>
        <w:spacing w:after="60" w:before="120"/>
      </w:pPr>
      <w:r>
        <w:rPr>
          <w:b/>
          <w:bCs/>
          <w:sz w:val="20"/>
          <w:szCs w:val="20"/>
        </w:rPr>
        <w:t xml:space="preserve">Earnings quality: </w:t>
      </w:r>
      <w:r>
        <w:rPr>
          <w:sz w:val="20"/>
          <w:szCs w:val="20"/>
        </w:rPr>
        <w:t xml:space="preserve">margin driver mixed</w:t>
      </w:r>
      <w:r>
        <w:rPr>
          <w:b/>
          <w:bCs/>
          <w:color w:val="A32020"/>
          <w:sz w:val="20"/>
          <w:szCs w:val="20"/>
        </w:rPr>
        <w:t xml:space="preserve">  — PEAK-MARGIN RISK: do not capitalise current margins</w:t>
      </w:r>
    </w:p>
    <w:p>
      <w:pPr>
        <w:spacing w:after="120"/>
      </w:pPr>
      <w:r>
        <w:rPr>
          <w:color w:val="666666"/>
          <w:sz w:val="18"/>
          <w:szCs w:val="18"/>
        </w:rPr>
        <w:t xml:space="preserve">Drivers: RevPAR-led operating leverage on a largely fixed cost base (structural); interest-cost reduction from deleveraging (structural); cyclical hotel-demand upswing lifting ARR (cyclical); one-off ~Rs 330 Cr deferred-tax credit flattering FY26 PAT (non-recurring).</w:t>
      </w:r>
    </w:p>
    <w:p>
      <w:pPr>
        <w:spacing w:after="120"/>
      </w:pPr>
      <w:r>
        <w:rPr>
          <w:color w:val="666666"/>
          <w:sz w:val="18"/>
          <w:szCs w:val="18"/>
        </w:rPr>
        <w:t xml:space="preserve">37.3% EBITDA margin is toward a cyclical peak for an asset-heavy owner after three up years; a through-cycle level is likely mid-30s. FY26 PAT of Rs 566 Cr normalises to ~Rs 230-240 Cr ex the ~Rs 330 Cr deferred-tax credit.</w:t>
      </w:r>
    </w:p>
    <w:p>
      <w:pPr>
        <w:spacing w:after="60" w:before="120"/>
      </w:pPr>
      <w:r>
        <w:rPr>
          <w:b/>
          <w:bCs/>
          <w:sz w:val="20"/>
          <w:szCs w:val="20"/>
        </w:rPr>
        <w:t xml:space="preserve">Growth trajectory: </w:t>
      </w:r>
      <w:r>
        <w:rPr>
          <w:b w:val="false"/>
          <w:bCs w:val="false"/>
          <w:sz w:val="20"/>
          <w:szCs w:val="20"/>
        </w:rPr>
        <w:t xml:space="preserve">YoY growth rate is steady</w:t>
      </w:r>
    </w:p>
    <w:p>
      <w:pPr>
        <w:spacing w:after="120"/>
      </w:pPr>
      <w:r>
        <w:rPr>
          <w:color w:val="666666"/>
          <w:sz w:val="18"/>
          <w:szCs w:val="18"/>
        </w:rPr>
        <w:t xml:space="preserve">RevPAR YoY oldest-&gt;newest: ~17% (FY25) -&gt; ~10% (FY26) -&gt; +9.6% (Q1 FY27); comparable revenue YoY ~16% (FY25) -&gt; ~13% (FY26) -&gt; +10.8% (Q1 FY27). Growth has settled into the guided 9-11% band and is holding, with occupancy (+5pp YoY in Q1) and margin still improving.</w:t>
      </w:r>
    </w:p>
    <w:p>
      <w:pPr>
        <w:spacing w:after="120"/>
      </w:pPr>
      <w:r>
        <w:rPr>
          <w:color w:val="666666"/>
          <w:sz w:val="18"/>
          <w:szCs w:val="18"/>
        </w:rPr>
        <w:t xml:space="preserve">Reverse P/E: Growth has normalised to the guided 9-11%; the ~10-11x trailing EV/EBITDA already reflects a steady mid-cycle grower, so the re-rating case rests on deleveraging + new builds, not on an acceleration.</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Capital allocation</w:t>
            </w:r>
          </w:p>
        </w:tc>
        <w:tc>
          <w:tcPr>
            <w:tcW w:type="dxa" w:w="5800"/>
          </w:tcPr>
          <w:p>
            <w:r>
              <w:t xml:space="preserve">Capital-recycling model executed reasonably - bought distressed hotels below replacement cost, lifted asset EBITDA ~21% in FY25; incremental returns still modest (group ROCE ~9%, below the cost of debt); the GIC JV brought institutional capital at a Rs 2,200 Cr EV mark. RARE India (70%) and Itmenaan are small adjacent bets, mildly diversifying.</w:t>
            </w:r>
          </w:p>
        </w:tc>
      </w:tr>
      <w:tr>
        <w:tc>
          <w:tcPr>
            <w:tcW w:type="dxa" w:w="3200"/>
            <w:shd w:fill="F2F2F2" w:val="clear"/>
          </w:tcPr>
          <w:p>
            <w:r>
              <w:rPr>
                <w:b/>
                <w:bCs/>
              </w:rPr>
              <w:t xml:space="preserve">Related-party trend</w:t>
            </w:r>
          </w:p>
        </w:tc>
        <w:tc>
          <w:tcPr>
            <w:tcW w:type="dxa" w:w="5800"/>
          </w:tcPr>
          <w:p>
            <w:r>
              <w:t xml:space="preserve">unclear</w:t>
            </w:r>
          </w:p>
        </w:tc>
      </w:tr>
      <w:tr>
        <w:tc>
          <w:tcPr>
            <w:tcW w:type="dxa" w:w="3200"/>
            <w:shd w:fill="F2F2F2" w:val="clear"/>
          </w:tcPr>
          <w:p>
            <w:r>
              <w:rPr>
                <w:b/>
                <w:bCs/>
              </w:rPr>
              <w:t xml:space="preserve">Guidance credibility</w:t>
            </w:r>
          </w:p>
        </w:tc>
        <w:tc>
          <w:tcPr>
            <w:tcW w:type="dxa" w:w="5800"/>
          </w:tcPr>
          <w:p>
            <w:r>
              <w:t xml:space="preserve">reliable</w:t>
            </w:r>
          </w:p>
        </w:tc>
      </w:tr>
      <w:tr>
        <w:tc>
          <w:tcPr>
            <w:tcW w:type="dxa" w:w="3200"/>
            <w:shd w:fill="F2F2F2" w:val="clear"/>
          </w:tcPr>
          <w:p>
            <w:r>
              <w:rPr>
                <w:b/>
                <w:bCs/>
              </w:rPr>
              <w:t xml:space="preserve">Capability ladder / VAP</w:t>
            </w:r>
          </w:p>
        </w:tc>
        <w:tc>
          <w:tcPr>
            <w:tcW w:type="dxa" w:w="5800"/>
          </w:tcPr>
          <w:p>
            <w:r>
              <w:t xml:space="preserve">Moving from economy/mid-scale turnarounds up to upper-scale/premium via the GIC JV (Westin, Tribute Portfolio) and experiential travel (RARE + Marriott)</w:t>
            </w:r>
          </w:p>
        </w:tc>
      </w:tr>
    </w:tbl>
    <w:p>
      <w:pPr>
        <w:pStyle w:val="Heading1"/>
        <w:spacing w:after="120" w:before="280"/>
      </w:pPr>
      <w:r>
        <w:t xml:space="preserve">Technical Read (Weekly / Monthly MACD + Bollinger Bands, or RSI/CCI/Williams %R proxy)</w:t>
      </w:r>
    </w:p>
    <w:p>
      <w:pPr>
        <w:spacing w:after="120"/>
      </w:pPr>
      <w:r>
        <w:t xml:space="preserve">Not independently pulled. Fell ~30-35% into early 2026 on Middle East / travel-cost fears from an already-cheap level; members frame the drawdown as fear-driven rather than fundamental. Price ~Rs 153 as of early Sep 2026, near the lower half of the 52-week range.</w:t>
      </w:r>
    </w:p>
    <w:p>
      <w:pPr>
        <w:pStyle w:val="Heading1"/>
        <w:spacing w:after="120" w:before="280"/>
      </w:pPr>
      <w:r>
        <w:t xml:space="preserve">ValuePickr Community Signal</w:t>
      </w:r>
    </w:p>
    <w:p>
      <w:pPr>
        <w:spacing w:after="120"/>
      </w:pPr>
      <w:r>
        <w:t xml:space="preserve">Read the most recent ~20 of 401 posts (Feb 2026 to Aug 2026). Constructive but patient. Aloysius_De_Sa (elevated): 'Blessing for long-term investors. Management has been walking the talk and the market is giving opportunities to add... pre-war this stock was trading way cheaper than what I believed was fair value. Not concerned at all.' Markmaker, bijo_scaria ('my bet on SAMHI is the next 5 years - Mumbai/Bengaluru/Hyderabad projects + higher EBITDA + strong cash generation + deleveraging'), Aiyappaa and k3311 are all invested and positive, citing the peer-valuation gap and the GCC/ARR runway. Rishabh_Modi is the balanced sceptic - 'cheap, but there is a reason': ROCE &lt; interest rate, and the GIC deal is a complex equity dilution (~Rs 752 Cr non-controlling interest). On the Rs 750 Cr raise, aditya14920251 and bijo_scaria caution that management has NOT said it is for debt paydown - it is a strategic/contingency option, possibly for distressed-asset acquisition.</w:t>
      </w:r>
    </w:p>
    <w:p>
      <w:pPr>
        <w:spacing w:after="120"/>
      </w:pPr>
      <w:r>
        <w:rPr>
          <w:b/>
          <w:bCs/>
          <w:sz w:val="20"/>
          <w:szCs w:val="20"/>
        </w:rPr>
        <w:t xml:space="preserve">High-conviction call from a top contributor: </w:t>
      </w:r>
      <w:r>
        <w:rPr>
          <w:sz w:val="20"/>
          <w:szCs w:val="20"/>
        </w:rPr>
        <w:t xml:space="preserve">A genuine positive conviction signal from an elevated member (Aloysius_De_Sa) - 'management walking the talk', adding on weakness, 'not concerned at all'. Supported by several invested (non-trusted) members with a multi-year thesis. The counter-view (Rishabh_Modi) is about quality/returns, not a governance concern.</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2026-03-30 — Aloysius_De_Sa</w:t>
      </w:r>
      <w:r>
        <w:rPr>
          <w:i/>
          <w:iCs/>
          <w:color w:val="666666"/>
          <w:sz w:val="18"/>
          <w:szCs w:val="18"/>
        </w:rPr>
        <w:t xml:space="preserve"> (Samhi Hotels - Turnaround with Tailwinds)</w:t>
      </w:r>
      <w:r>
        <w:rPr>
          <w:sz w:val="20"/>
          <w:szCs w:val="20"/>
        </w:rPr>
        <w:br/>
        <w:t xml:space="preserve">: 'Blessing for long-term investors. Management has been walking the talk and the market is giving opportunities to add... pre-war this stock was trading way cheaper than what I believed was fair value. Not concerned at all.' Adding on the drawdown. Clear positive conviction.</w:t>
      </w:r>
    </w:p>
    <w:p>
      <w:pPr>
        <w:pStyle w:val="Heading1"/>
        <w:spacing w:after="120" w:before="280"/>
      </w:pPr>
      <w:r>
        <w:t xml:space="preserve">BSE Corporate Actions / Other Red Flags</w:t>
      </w:r>
    </w:p>
    <w:p>
      <w:pPr>
        <w:spacing w:after="120"/>
      </w:pPr>
      <w:r>
        <w:t xml:space="preserve">GIC JV: 35% stake in three subsidiaries (five hotels), Rs 752 Cr (Rs 603 Cr upfront primarily to cut debt + Rs 149 Cr for Whitefield Westin/Tribute capex); Rs 2,200 Cr EV; ~Rs 752 Cr non-controlling interest now on the balance sheet. Rs 750 Cr capital-raise enabling resolution passed Q1 FY27 - purpose not specified (optionality/contingency, possibly distressed-asset acquisition). Mar 2026: acquired 70% of RARE India (experiential B2C, with Marriott) and Itmenaan Lodges. Navi Mumbai ~700-key dual-branded Westin + Fairfield - MIDC approved a project extension. Q4 FY26 PAT boosted by a ~Rs 330 Cr deferred-tax-asset creation and a ~Rs 27 Cr impairment reversal (non-cash). No SEBI action; no red-flag tier.</w:t>
      </w:r>
    </w:p>
    <w:p>
      <w:pPr>
        <w:pStyle w:val="Heading1"/>
        <w:spacing w:after="120" w:before="280"/>
      </w:pPr>
      <w:r>
        <w:t xml:space="preserve">Bull Case</w:t>
      </w:r>
    </w:p>
    <w:p>
      <w:pPr>
        <w:pStyle w:val="ListParagraph"/>
        <w:numPr>
          <w:ilvl w:val="0"/>
          <w:numId w:val="1"/>
        </w:numPr>
        <w:spacing w:after="60"/>
      </w:pPr>
      <w:r>
        <w:t xml:space="preserve">Operating turnaround measurable and continuing: Q1 FY27 same-store RevPAR +9.6%, occupancy 79.3%, EBITDA margin ~37%, 3-year revenue CAGR ~16%</w:t>
      </w:r>
    </w:p>
    <w:p>
      <w:pPr>
        <w:pStyle w:val="ListParagraph"/>
        <w:numPr>
          <w:ilvl w:val="0"/>
          <w:numId w:val="1"/>
        </w:numPr>
        <w:spacing w:after="60"/>
      </w:pPr>
      <w:r>
        <w:t xml:space="preserve">GIC JV (Rs 752 Cr, 35% of three subsidiaries, Rs 2,200 Cr EV) validates asset marks and funds premium expansion; institutional partner for upper-scale growth</w:t>
      </w:r>
    </w:p>
    <w:p>
      <w:pPr>
        <w:pStyle w:val="ListParagraph"/>
        <w:numPr>
          <w:ilvl w:val="0"/>
          <w:numId w:val="1"/>
        </w:numPr>
        <w:spacing w:after="60"/>
      </w:pPr>
      <w:r>
        <w:t xml:space="preserve">Genuinely cheap and asset-backed - EV/EBITDA ~8x FY28E vs peers 11-15x, trading near book (P/B ~1.05)</w:t>
      </w:r>
    </w:p>
    <w:p>
      <w:pPr>
        <w:pStyle w:val="ListParagraph"/>
        <w:numPr>
          <w:ilvl w:val="0"/>
          <w:numId w:val="1"/>
        </w:numPr>
        <w:spacing w:after="60"/>
      </w:pPr>
      <w:r>
        <w:t xml:space="preserve">Structural GCC/corporate-demand tailwind in core cities; domestic mix now 82% of room-nights insulates from inbound-travel shocks; concrete new-build pipeline (Navi Mumbai ~700 keys, Whitefield, Hyderabad)</w:t>
      </w:r>
    </w:p>
    <w:p>
      <w:pPr>
        <w:pStyle w:val="ListParagraph"/>
        <w:numPr>
          <w:ilvl w:val="0"/>
          <w:numId w:val="1"/>
        </w:numPr>
        <w:spacing w:after="60"/>
      </w:pPr>
      <w:r>
        <w:t xml:space="preserve">Interest cost falling fast (Q4 FY26 Rs 37 Cr vs Rs 55 Cr YoY); elevated-user (Aloysius_De_Sa) 'walking the talk' endorsement, adding on dips</w:t>
      </w:r>
    </w:p>
    <w:p>
      <w:pPr>
        <w:pStyle w:val="Heading1"/>
        <w:spacing w:after="120" w:before="280"/>
      </w:pPr>
      <w:r>
        <w:t xml:space="preserve">Bear Case / Key Risks</w:t>
      </w:r>
    </w:p>
    <w:p>
      <w:pPr>
        <w:pStyle w:val="ListParagraph"/>
        <w:numPr>
          <w:ilvl w:val="0"/>
          <w:numId w:val="1"/>
        </w:numPr>
        <w:spacing w:after="60"/>
      </w:pPr>
      <w:r>
        <w:t xml:space="preserve">Leverage still heavy - net debt ~Rs 1,967 Cr, net debt/EBITDA ~3.2x at group; the 2.4x target is an FY28 goal, deleveraging slower than the turnaround narrative implied</w:t>
      </w:r>
    </w:p>
    <w:p>
      <w:pPr>
        <w:pStyle w:val="ListParagraph"/>
        <w:numPr>
          <w:ilvl w:val="0"/>
          <w:numId w:val="1"/>
        </w:numPr>
        <w:spacing w:after="60"/>
      </w:pPr>
      <w:r>
        <w:t xml:space="preserve">FY26 headline PAT Rs 566 Cr is ~2.4x flattered by a non-cash ~Rs 330 Cr deferred-tax credit + impairment reversal; the core earnings multiple is ~15-16x, not ~10x</w:t>
      </w:r>
    </w:p>
    <w:p>
      <w:pPr>
        <w:pStyle w:val="ListParagraph"/>
        <w:numPr>
          <w:ilvl w:val="0"/>
          <w:numId w:val="1"/>
        </w:numPr>
        <w:spacing w:after="60"/>
      </w:pPr>
      <w:r>
        <w:t xml:space="preserve">0% promoter holding - no promoter skin-in-the-game; the Rs 750 Cr enabling resolution is a live ~20%-of-mcap dilution overhang with unspecified use</w:t>
      </w:r>
    </w:p>
    <w:p>
      <w:pPr>
        <w:pStyle w:val="ListParagraph"/>
        <w:numPr>
          <w:ilvl w:val="0"/>
          <w:numId w:val="1"/>
        </w:numPr>
        <w:spacing w:after="60"/>
      </w:pPr>
      <w:r>
        <w:t xml:space="preserve">Asset-heavy, cyclical hotel owner on licensed third-party brands - ROCE ~9% is below the cost of debt, no pricing power beyond the cycle; GST change pressuring margins; ~37% EBITDA margin likely near a cyclical peak</w:t>
      </w:r>
    </w:p>
    <w:p>
      <w:pPr>
        <w:pStyle w:val="ListParagraph"/>
        <w:numPr>
          <w:ilvl w:val="0"/>
          <w:numId w:val="1"/>
        </w:numPr>
        <w:spacing w:after="60"/>
      </w:pPr>
      <w:r>
        <w:t xml:space="preserve">A clean 10x from ~Rs 3,400 Cr in 2-3 years is a stretch for a capital-intensive cyclical; realistic upside is a 2-4x on deleveraging + EBITDA growth + partial re-rating (Antique target ~+41%)</w:t>
      </w:r>
    </w:p>
    <w:p>
      <w:pPr>
        <w:pStyle w:val="Heading1"/>
        <w:spacing w:after="120" w:before="280"/>
      </w:pPr>
      <w:r>
        <w:t xml:space="preserve">Market-Cap Tier (informational — not a gate in this project)</w:t>
      </w:r>
    </w:p>
    <w:p>
      <w:pPr>
        <w:spacing w:after="120"/>
      </w:pPr>
      <w:r>
        <w:rPr>
          <w:b/>
          <w:bCs/>
        </w:rPr>
        <w:t xml:space="preserve">Small/Mid-cap (~Rs 3,400 Cr)</w:t>
      </w:r>
    </w:p>
    <w:p>
      <w:pPr>
        <w:pStyle w:val="Heading1"/>
        <w:spacing w:after="120" w:before="280"/>
      </w:pPr>
      <w:r>
        <w:t xml:space="preserve">Thesis Fit</w:t>
      </w:r>
    </w:p>
    <w:p>
      <w:pPr>
        <w:spacing w:after="120"/>
      </w:pPr>
      <w:r>
        <w:rPr>
          <w:b/>
          <w:bCs/>
          <w:sz w:val="24"/>
          <w:szCs w:val="24"/>
        </w:rPr>
        <w:t xml:space="preserve">10x-in-2-3-years</w:t>
      </w:r>
    </w:p>
    <w:p>
      <w:pPr>
        <w:spacing w:after="120"/>
      </w:pPr>
      <w:r>
        <w:rPr>
          <w:color w:val="666666"/>
          <w:sz w:val="20"/>
          <w:szCs w:val="20"/>
        </w:rPr>
        <w:t xml:space="preserve">4-box gate — tailwind: yes · TAM: weak · moat: weak · valuation: yes  (score 3 / 4)</w:t>
      </w:r>
    </w:p>
    <w:p>
      <w:pPr>
        <w:spacing w:after="120"/>
      </w:pPr>
      <w:r>
        <w:rPr>
          <w:i/>
          <w:iCs/>
          <w:color w:val="666666"/>
          <w:sz w:val="20"/>
          <w:szCs w:val="20"/>
        </w:rPr>
        <w:t xml:space="preserve">tam and moat weak - capital-intensive cyclical on licensed third-party brands, ROCE below the cost of debt, headroom for a 2-4x rather than a comfortable 10x; tailwind (structural GCC demand) + a genuine valuation discount (~8x FY28E vs peers 11-15x, near book) carry it to 3.0, so the 10x label is permitted but the realistic case is a 2-4x.</w:t>
      </w:r>
    </w:p>
    <w:p>
      <w:pPr>
        <w:pStyle w:val="Heading1"/>
        <w:spacing w:after="120" w:before="280"/>
      </w:pPr>
      <w:r>
        <w:t xml:space="preserve">Verdict</w:t>
      </w:r>
    </w:p>
    <w:p>
      <w:pPr>
        <w:spacing w:after="120"/>
      </w:pPr>
      <w:r>
        <w:rPr>
          <w:b/>
          <w:bCs/>
          <w:sz w:val="24"/>
          <w:szCs w:val="24"/>
        </w:rPr>
        <w:t xml:space="preserve">10x-in-2-3-years bucket at MEDIUM conviction (cut from Medium-High) - a cheap, asset-backed branded-hotel turnaround with a real operating inflection and GIC validation, but heavier-than-advertised leverage (~3.2x group net debt/EBITDA), deferred-tax-flattered headline earnings, a 0% promoter and a live Rs 750 Cr dilution overhang keep it out of the higher buckets</w:t>
      </w:r>
    </w:p>
    <w:p>
      <w:pPr>
        <w:pStyle w:val="ListParagraph"/>
        <w:numPr>
          <w:ilvl w:val="0"/>
          <w:numId w:val="1"/>
        </w:numPr>
        <w:spacing w:after="60"/>
      </w:pPr>
      <w:r>
        <w:t xml:space="preserve">The operating turnaround is corroborated by the filings: Q1 FY27 RevPAR +9.6%, occupancy 79.3%, EBITDA margin ~37% (up ~800 bps in three years), interest cost falling sharply, plus GIC's Rs 752 Cr institutional validation of the asset base and an elevated-user 'walking the talk' endorsement</w:t>
      </w:r>
    </w:p>
    <w:p>
      <w:pPr>
        <w:pStyle w:val="ListParagraph"/>
        <w:numPr>
          <w:ilvl w:val="0"/>
          <w:numId w:val="1"/>
        </w:numPr>
        <w:spacing w:after="60"/>
      </w:pPr>
      <w:r>
        <w:t xml:space="preserve">four_box score 3.0 (tailwind yes, valuation yes; tam and moat weak) permits the '10x-in-2-3-years' label, but the realistic outcome is a 2-4x on deleveraging + EBITDA growth + a partial re-rating to peer multiples - the growth bucket is the closest fit, not a literal forecast</w:t>
      </w:r>
    </w:p>
    <w:p>
      <w:pPr>
        <w:pStyle w:val="ListParagraph"/>
        <w:numPr>
          <w:ilvl w:val="0"/>
          <w:numId w:val="1"/>
        </w:numPr>
        <w:spacing w:after="60"/>
      </w:pPr>
      <w:r>
        <w:t xml:space="preserve">Cut to MEDIUM from Medium-High: net debt/EBITDA is ~3.2x at group (not 'toward 2.5x'), FY26 headline PAT is ~2.4x flattered by a non-cash deferred-tax credit, there is no promoter, and the Rs 750 Cr enabling resolution is an unresolved ~20%-of-mcap dilution overhang</w:t>
      </w:r>
    </w:p>
    <w:p>
      <w:pPr>
        <w:pStyle w:val="ListParagraph"/>
        <w:numPr>
          <w:ilvl w:val="0"/>
          <w:numId w:val="1"/>
        </w:numPr>
        <w:spacing w:after="60"/>
      </w:pPr>
      <w:r>
        <w:t xml:space="preserve">No red-flag tier; no trusted-conviction floor active. Revisit: use of the Rs 750 Cr raise, new-build commissioning timelines, same-store RevPAR trajectory, and the pace of actual deleveraging</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2026-09-04T07:39:42.591Z</dcterms:created>
  <dcterms:modified xsi:type="dcterms:W3CDTF">2026-09-04T07:39:42.596Z</dcterms:modified>
</cp:coreProperties>
</file>

<file path=docProps/custom.xml><?xml version="1.0" encoding="utf-8"?>
<Properties xmlns="http://schemas.openxmlformats.org/officeDocument/2006/custom-properties" xmlns:vt="http://schemas.openxmlformats.org/officeDocument/2006/docPropsVTypes"/>
</file>