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SKF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Automotive-bearings arm of SKF post-demerger — quality MNC franchise, coverage-orphaned and cheap-ish, but the accelerating industrial/robotics tailwind sits with the demerged sibling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Indian automotive-bearings business of SKF AB after the 2025 demerger that split SKF India into an automotive entity (this one, ticker SKFINDIA) and SKF India Industrial (SKFINDUS). OEM + aftermarket bearings and units for 2W / PV / CV.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7,600 Cr (down ~28% in 1 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(approx, post-demerger)</w:t>
            </w:r>
          </w:p>
        </w:tc>
        <w:tc>
          <w:tcPr>
            <w:tcW w:type="dxa" w:w="5800"/>
          </w:tcPr>
          <w:p>
            <w:r>
              <w:t xml:space="preserve">~Rs 2,255 Cr / ~Rs 209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Sales +27% YoY (~Rs 588 Cr), PAT ~Rs 62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Normalised P/E</w:t>
            </w:r>
          </w:p>
        </w:tc>
        <w:tc>
          <w:tcPr>
            <w:tcW w:type="dxa" w:w="5800"/>
          </w:tcPr>
          <w:p>
            <w:r>
              <w:t xml:space="preserve">~30x on ~Rs 250 Cr normalised FY profit (in line with NRB, below Timken/Schaeffler)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growth</w:t>
            </w:r>
          </w:p>
        </w:tc>
        <w:tc>
          <w:tcPr>
            <w:tcW w:type="dxa" w:w="5800"/>
          </w:tcPr>
          <w:p>
            <w:r>
              <w:t xml:space="preserve">~ -4.4% (messy — demerger charges distort FY25-26)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Holding</w:t>
            </w:r>
          </w:p>
        </w:tc>
        <w:tc>
          <w:tcPr>
            <w:tcW w:type="dxa" w:w="5800"/>
          </w:tcPr>
          <w:p>
            <w:r>
              <w:t xml:space="preserve">Promoter ~52.6%; MF holding 23.3% -&gt; 24.3% YoY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stock is coverage-orphaned — analysts dropped it after demerger charges made last year's numbers unreadable — which is the main re-rating optionality. Q1 FY27's 27% sales growth is encouraging but likely flattered by base and demerger noise. The structural issue is that this is the automotive book: EV powertrains have far fewer bearings and longer replacement cycles, so long-run volume growth is muted. The China+1 / railways / defence / wind / robotics-bearing story that matches the live theme belongs to the demerged SKF India Industrial entity, not this one.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Humanoids / robotics — bearings, precision engineering, actuators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Indian automotive-bearings arm of SKF AB (post-2025 demerger); OEM + aftermarket bearings for 2W/PV/CV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Timken India, Schaeffler India, NRB Bearings, SKF India Industrial (demerged sibling)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accelerating robotics / China+1 / railway-bearing tailwind sits with the demerged SKF India Industrial entity; this automotive book faces a slow EV replacement-cycle headwind and roughly demand-tracking supply.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Thin thread; most recent interest is valuation-gap arbitrage vs Timken — but that argument was framed mainly for the Industrial entity. For the automotive entity the discussion is sparse and cautious on growth.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active; nav_1996 (who created the SKF India Industrial thread) notes MF backing is holding up and coverage may resume.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SKF global brand, OEM approvals, precision manufacturing — a durable MNC franchise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Coverage-orphaned and ~30x normalised (cheaper than Timken/Schaeffler) — re-rating optionality as coverage resumes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MNC balance sheet, rising MF ownership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the automotive entity — EV structural headwind (fewer bearings, longer replacement)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5-yr sales growth negative; Q1 FY27 growth likely base/demerger-flattered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accelerating robotics / China+1 / railway-bearing tailwind sits with SKF India Industrial, not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10x/100x path off a mature auto-ancillary MNC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7,600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(automotive-bearings book, EV headwind; robotics tailwind sits with the demerged Industrial sibling); tam no (Rs 7,600 Cr mature MNC); moat weak (real but mature); valuation weak (~30x normalised). Score 1.5 -&gt; 'neither',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Decent orphaned MNC franchise with mild re-rating optionality, but the automotive book has no screen thesis — 'neither', Low-Medium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 on keyword 'bearing' (priority-1 'Humanoids / robotics — bearings'), but the match is misleading: the candidate is the automotive entity, whereas the robotics/industrial tailwind is in the demerged SKF India Industrial (SKFINDUS / separate VP thread).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(tailwind weak — auto bearings, EV headwind; tam no — Rs 7,600 Cr mature MNC; moat weak — real but mature; valuation weak — ~30x normalised, not cheap for the growth). Score &lt;=1.5 -&gt; 'neither', hard.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quality franchise, no red flag, MF support and coverage-resumption optionality, but negative structural growth and no 10x/100x fit.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read; not in the prior screen.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2026-09-04T02:30:15.512Z</dcterms:created>
  <dcterms:modified xsi:type="dcterms:W3CDTF">2026-09-04T02:30:15.512Z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