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SML Isuzu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long-underperforming CV manufacturer just acquired by Mahindra &amp; Mahindra - a genuine, sharp catalyst, though the ValuePickr thread is thin and hasn't caught up with a year of post-deal developments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SML Isuzu manufactures light &amp; medium commercial vehicles (cargo, buses, ambulances) in India, historically majority-owned by Sumitomo Corporation (Japan) with Isuzu technical collaboration. In 2025, Mahindra &amp; Mahindra acquired the promoter stake (58.96%, CCI-approved Jun 2025) via an open offer at Rs 1,554.60/share - the company is now effectively an M&amp;M-controlled subsidiary.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7,987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30.9% / 35.4%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2,700 - 5,988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M&amp;M acquisition price (2025 open offer)</w:t>
            </w:r>
          </w:p>
        </w:tc>
        <w:tc>
          <w:tcPr>
            <w:tcW w:type="dxa" w:w="5800"/>
          </w:tcPr>
          <w:p>
            <w:r>
              <w:t xml:space="preserve">Rs 1,554.60/share - well below the current trading price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current ROCE/ROE (30.9%/35.4%) for a company that spent most of its ValuePickr history as a small, thinly-followed, sometimes loss-making CV manufacturer (Q2 FY22 reported a loss; FY21 had negative operating cash flow financed by new borrowings). The business has clearly turned around operationally even before the M&amp;M deal, and the stock now trades well above the ~Rs 1,554 2025 open-offer price, reflecting market re-rating on the M&amp;M-backing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24 available posts spanning Dec 2017 to Jul 2025 (thread is thin and has gone quiet since the M&amp;M deal closed - no posts found covering the subsequent ~13 months to today). Early thread (2017-2022) reflects a small, overlooked stock with volatile sales and at least one loss-making quarter. From 2024 the tone shifted to genuine operational recovery (monthly sales growth reported repeatedly). The dominant, thesis-changing event is the Mar-Jul 2025 sequence: M&amp;M announced intent to acquire Sumitomo's stake (Mar 2025), made a formal open offer (Apr 2025), and received CCI approval (Jun 2025) - with one poster explicitly framing this as unlocking "big potential in the commercial vehicle segment, including EVs, CNG buses." One skeptical exchange questioned why promoters accepted only ~Rs 1,554/share (a discount to the 2-year weighted average price), with a trusted user suggesting this reflected global CV-OEM valuation norms plus an implied long-term components-supply arrangement with Sumitomo/Isuzu rather than the company's standalone intrinsic value.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nav_1996 and shyamutty (both trusted) posted informational context on the M&amp;M deal rationale and post-deal sales data respectively - neither made an explicit conviction/buy call. No trusted user has commented since the deal closed in mid-2025, so there is no fresh community read on how the M&amp;M integration is actually progressing.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M&amp;M's acquisition of 58.96% and CCI approval are the key confirmed corporate actions; no red flags identified.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M&amp;M's acquisition is a genuine, sharp, company-specific catalyst - access to M&amp;M's scale, distribution, and potential new EV/CNG product lines was explicitly flagged by the community as a real unlock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ROCE/ROE (30.9%/35.4%) show the underlying business has already turned around operationally, independent of the M&amp;M deal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trades well above the 2025 open-offer price, suggesting the market has begun pricing in the M&amp;M-backing re-rating, though the thread offers no fresh read on whether this is fully priced or still early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ValuePickr thread is thin (24 posts total) and has not been updated in the ~13 months since the M&amp;M deal closed - there is no community verification of how integration, product-line expansion, or margin trends are actually progressing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Historically volatile and at times loss-making (Q2 FY22 loss, negative FY21 operating cash flow financed by borrowings) - the current strong ROCE/ROE should be treated as a recent-period read, not a long, proven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 user has made an explicit conviction call either before or after the M&amp;M deal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7,987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sharp M&amp;M-backing catalyst on top of a genuinely recovering business, but the community signal is stale and needs a fresh check next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M&amp;M acquisition is exactly the kind of sharp, company-specific catalyst the thesis calls for at this market-cap tier, not generic sector optimism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fundamentals (ROCE/ROE) are strong, but the historical volatility and the thread's year-long silence since the deal closed argue for treating this as an unconfirmed, developing situation rather than a settled high-conviction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Should be prioritized for a fresh community/news check next cycle specifically to see how the M&amp;M integration and any new product lines are actually playing out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2026-08-23T09:59:07.801Z</dcterms:created>
  <dcterms:modified xsi:type="dcterms:W3CDTF">2026-08-23T09:59:07.802Z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