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Sanghvi Movers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largest crane-rental company (~450 cranes) coming off its best year ever, with ~50%+ EBITDA-margin core rental economics and a genuine Saudi Arabia / Middle East expansion at ~100% utilisation - but a capital-heavy, wind-cyclical model that caps a 10x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Sanghvi Movers rents heavy cranes (110-800+ tonne) across wind energy, cement, power, oil &amp; gas, metro, nuclear and refinery projects, and is expanding into wind-EPC (turnkey project execution) and international crane rental - operations in Saudi Arabia began in Q2 FY26, with a Qatar entry also flagged. Next-generation (US-returned) management is now at the helm.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3,857 Cr (up ~33% in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 (avg)</w:t>
            </w:r>
          </w:p>
        </w:tc>
        <w:tc>
          <w:tcPr>
            <w:tcW w:type="dxa" w:w="5800"/>
          </w:tcPr>
          <w:p>
            <w:r>
              <w:t xml:space="preserve">~14.6% / ~15%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EBITDA (FY26)</w:t>
            </w:r>
          </w:p>
        </w:tc>
        <w:tc>
          <w:tcPr>
            <w:tcW w:type="dxa" w:w="5800"/>
          </w:tcPr>
          <w:p>
            <w:r>
              <w:t xml:space="preserve">~Rs 1,020 Cr (+37% YoY) / ~Rs 429 Cr; blended EBITDA margin ~42% (core crane rental ~50-56%, EPC ~10-15%)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</w:t>
            </w:r>
          </w:p>
        </w:tc>
        <w:tc>
          <w:tcPr>
            <w:tcW w:type="dxa" w:w="5800"/>
          </w:tcPr>
          <w:p>
            <w:r>
              <w:t xml:space="preserve">25-30% topline growth, crane utilisation targeted 75-84% (optimal ~84%)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D/E ~0.46 and rising; interest expense +73% YoY; FY26-27 capex ~Rs 1,000 Cr combined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221 - 413; P/E ~15, PEG &lt; 1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FY26 was the strongest year in the company's history - revenue Rs 1,020 Cr (+37%), EBITDA Rs 429 Cr - driven by peak crane utilisation and a fast start in Saudi Arabia (the KSA crane-rental market is ~$800m-1bn/yr against a ~$500bn+ construction pipeline; Sanghvi reported ~100% KSA utilisation and is involved in the Jeddah Tower). Core crane rental is a high-margin (~50-56% EBITDA) business, and at ~15x earnings with 20-25% EPS growth the valuation is undemanding. Governance looks clean - no promoter pledge or sale, next-gen management, no adverse audit remarks. The caps: it is capital-heavy (FY26-27 capex ~Rs 1,000 Cr, D/E rising to ~0.46, interest cost +73%), historically loss-making when wind capacity additions collapsed, still India-revenue-concentrated in wind, and facing rising competitive intensity in domestic crane rental.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pulled; stock recovered ~70% off a Feb-2025 bottom after a ~72% drawdown from the May-2024 top, forming a base as the market re-prices the improved business mix.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Deep 544-post thread. After a brutal FY25 (renewable-sector derating, receivables stress, ~72% drawdown), the FY26 recovery narrative has taken hold: AdityaM and Gaurav_Shivhare posted detailed concall notes on peak utilisation, 25-30% growth guidance and the Middle East pivot; Prashantnegi76 detailed the KSA opportunity ($2trn of construction projects, FIFA World Cup / Expo build-out, 100% KSA utilisation). shyamdsundar's Dec-2025 note argues value territory (P/E 15, PEG &lt; 1, clean governance, next-gen management). Bears/cautious voices: asarun (EPC is a hard new business), Aarti (high-capex, wind-cyclical, went to losses before), and questions about non-wind tonnage economics as the mix shifts.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Elevated-tier users appear but with mixed/cautious stances: asarun (cautious on EPC execution), StonePitbull ('exited at a loss, tracking'), rcinvestor999 (technical/re-rating bull). No clear positive high-conviction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or fraud action found. No promoter pledge or share sale; 'employee immediate relative' insider buying identified as the CFO's daughter (works elsewhere). Next-generation (US-returned) management now leading. Saudi Arabia operations began Q2 FY26; Qatar entry flagged.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Best year in company history (FY26 revenue +37%, EBITDA Rs 429 Cr) on peak crane utilisation, with 25-30% growth guided for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Middle East expansion - KSA operations at ~100% utilisation into a ~$800m-1bn/yr market backed by a ~$500bn+ construction pipeline; Jeddah Tower involvement; Qatar next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Core crane rental earns ~50-56% EBITDA margins; the wind super-cycle (India did 1 GW in a single month in Apr 2025 vs 4.1 GW in all of FY25) plus nuclear/metro/refinery demand support utilisation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Undemanding valuation (~15x earnings, PEG &lt; 1) with clean governance, no pledge, next-gen management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Capital-intensive: ~Rs 1,000 Cr FY26-27 capex, D/E up to ~0.46, interest expense +73% YoY - returns (ROE/ROCE ~15%) are structurally rental-business-capped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Was loss-making the last time wind capacity additions collapsed; India revenue is still wind-concentrated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Rising competitive intensity in domestic crane rental is already pressuring margins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Wind-EPC is a genuinely different, execution-heavy business the company is new 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10x from ~Rs 3,857 Cr would require ~Rs 38,000 Cr - implausible for an asset-heavy crane-rental company at ~15% ROE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3,857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 - a solid, reasonably-priced business with a real KSA growth catalyst and clean governance, but capital intensity, wind cyclicality and ~15% ROE cap the outcome well short of a 10x in 2-3 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Best-ever year, a real Saudi Arabia catalyst and a fair ~15x multiple - a good business at a good price, but the asset-heavy rental model rules out a 10x. thesis_fit neither, conviction Medium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First-time coverage. The recent trend is strong (FY26 best year ever, KSA at ~100% utilisation) and the KSA/Middle East catalyst is specific and credible, so per the small/mid-cap inflection rule this is not dismissed lightly.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'neither' is the honest classification: crane rental is capital-heavy (rising D/E, +73% interest cost), historically cyclical with wind, and earns ~15% ROE - a re-rating plus KSA doubling can plausibly deliver 2-3x, not 10x.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Governance is clean (no pledge/sale, next-gen management, no audit issues); elevated-tier users in-thread are mixed/cautious, so no positive trusted signal and no conviction floor.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red-flag tier. thesis_fit neither; conviction Medium (good business, fair price, real catalyst). Not flagged for 30-day revisit (thesis_fit neither); the KSA/Qatar ramp and domestic crane margins are the monitorables.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2026-08-30T12:51:18.141Z</dcterms:created>
  <dcterms:modified xsi:type="dcterms:W3CDTF">2026-08-30T12:51:18.142Z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