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Sedemac Mechatronics Ltd</w:t>
      </w:r>
    </w:p>
    <w:p>
      <w:pPr>
        <w:pBdr>
          <w:bottom w:val="single" w:color="CCCCCC" w:sz="6" w:space="8"/>
        </w:pBdr>
        <w:spacing w:after="200"/>
      </w:pPr>
      <w:r>
        <w:rPr>
          <w:i/>
          <w:iCs/>
          <w:color w:val="666666"/>
          <w:sz w:val="22"/>
          <w:szCs w:val="22"/>
        </w:rPr>
        <w:t xml:space="preserve">Exceptional 35% ROCE control-electronics tech play compounding PAT at ~130% over 3 years - but a ~120x P/E, a 100% offer-for-sale IPO and a September 2026 lock-in expiry leave zero margin of safety</w:t>
      </w:r>
    </w:p>
    <w:p>
      <w:pPr>
        <w:pStyle w:val="Heading1"/>
        <w:spacing w:after="120" w:before="280"/>
      </w:pPr>
      <w:r>
        <w:t xml:space="preserve">Business Overview</w:t>
      </w:r>
    </w:p>
    <w:p>
      <w:pPr>
        <w:spacing w:after="120"/>
      </w:pPr>
      <w:r>
        <w:t xml:space="preserve">Sedemac Mechatronics (founded 2007, IIT-Bombay lineage; listed 11 March 2026) is a Tier-I supplier of control-intensive electronic systems - engine control units (ECUs), integrated starter-generators (ISG), motor control units (MCUs) and, next, higher-value motors - primarily for two-wheelers and three-wheelers, expanding toward power tools and eventually CV/PV. Its edge is moving up the tech value chain from the ECU 'brains' to full electromechanical systems, backed by an in-house patent portfolio. Trailing 12-month unit sales ~4.2M ECUs (+53%); ~35% penetration in its key 2W product.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13,612 Cr (mid-cap)</w:t>
            </w:r>
          </w:p>
        </w:tc>
      </w:tr>
      <w:tr>
        <w:tc>
          <w:tcPr>
            <w:tcW w:type="dxa" w:w="3200"/>
            <w:shd w:fill="F2F2F2" w:val="clear"/>
          </w:tcPr>
          <w:p>
            <w:r>
              <w:rPr>
                <w:b/>
                <w:bCs/>
              </w:rPr>
              <w:t xml:space="preserve">ROCE / ROE</w:t>
            </w:r>
          </w:p>
        </w:tc>
        <w:tc>
          <w:tcPr>
            <w:tcW w:type="dxa" w:w="5800"/>
          </w:tcPr>
          <w:p>
            <w:r>
              <w:t xml:space="preserve">~35% / ~27%</w:t>
            </w:r>
          </w:p>
        </w:tc>
      </w:tr>
      <w:tr>
        <w:tc>
          <w:tcPr>
            <w:tcW w:type="dxa" w:w="3200"/>
            <w:shd w:fill="F2F2F2" w:val="clear"/>
          </w:tcPr>
          <w:p>
            <w:r>
              <w:rPr>
                <w:b/>
                <w:bCs/>
              </w:rPr>
              <w:t xml:space="preserve">Revenue / PAT trajectory</w:t>
            </w:r>
          </w:p>
        </w:tc>
        <w:tc>
          <w:tcPr>
            <w:tcW w:type="dxa" w:w="5800"/>
          </w:tcPr>
          <w:p>
            <w:r>
              <w:t xml:space="preserve">Rev Rs 429-&gt;535-&gt;662-&gt;~775 Cr (FY23-&gt;9MFY26); PAT Rs 9-&gt;6-&gt;47-&gt;72 Cr; PAT ~129% 3-yr CAGR</w:t>
            </w:r>
          </w:p>
        </w:tc>
      </w:tr>
      <w:tr>
        <w:tc>
          <w:tcPr>
            <w:tcW w:type="dxa" w:w="3200"/>
            <w:shd w:fill="F2F2F2" w:val="clear"/>
          </w:tcPr>
          <w:p>
            <w:r>
              <w:rPr>
                <w:b/>
                <w:bCs/>
              </w:rPr>
              <w:t xml:space="preserve">Q1 FY27</w:t>
            </w:r>
          </w:p>
        </w:tc>
        <w:tc>
          <w:tcPr>
            <w:tcW w:type="dxa" w:w="5800"/>
          </w:tcPr>
          <w:p>
            <w:r>
              <w:t xml:space="preserve">Revenue ~Rs 309 Cr (+43% YoY), PAT ~Rs 33 Cr (+95% YoY), margin 10.6%</w:t>
            </w:r>
          </w:p>
        </w:tc>
      </w:tr>
      <w:tr>
        <w:tc>
          <w:tcPr>
            <w:tcW w:type="dxa" w:w="3200"/>
            <w:shd w:fill="F2F2F2" w:val="clear"/>
          </w:tcPr>
          <w:p>
            <w:r>
              <w:rPr>
                <w:b/>
                <w:bCs/>
              </w:rPr>
              <w:t xml:space="preserve">Balance sheet</w:t>
            </w:r>
          </w:p>
        </w:tc>
        <w:tc>
          <w:tcPr>
            <w:tcW w:type="dxa" w:w="5800"/>
          </w:tcPr>
          <w:p>
            <w:r>
              <w:t xml:space="preserve">Lean; total borrowings down to ~Rs 47 Cr; ~20-21% EBITDA margin</w:t>
            </w:r>
          </w:p>
        </w:tc>
      </w:tr>
      <w:tr>
        <w:tc>
          <w:tcPr>
            <w:tcW w:type="dxa" w:w="3200"/>
            <w:shd w:fill="F2F2F2" w:val="clear"/>
          </w:tcPr>
          <w:p>
            <w:r>
              <w:rPr>
                <w:b/>
                <w:bCs/>
              </w:rPr>
              <w:t xml:space="preserve">52-week range</w:t>
            </w:r>
          </w:p>
        </w:tc>
        <w:tc>
          <w:tcPr>
            <w:tcW w:type="dxa" w:w="5800"/>
          </w:tcPr>
          <w:p>
            <w:r>
              <w:t xml:space="preserve">~Rs 1,413 - 3,182 (IPO price Rs 1,352)</w:t>
            </w:r>
          </w:p>
        </w:tc>
      </w:tr>
    </w:tbl>
    <w:p>
      <w:pPr>
        <w:spacing w:after="100"/>
      </w:pPr>
    </w:p>
    <w:p>
      <w:pPr>
        <w:spacing w:after="120"/>
      </w:pPr>
      <w:r>
        <w:t xml:space="preserve">The business quality is close to best-in-class for an auto-ancillary: ~35% ROCE, ~27% ROE, ~20% EBITDA margins, a capital-light model, net-cash-trending balance sheet, and a genuine technology moat with patents. Growth is real and accelerating (Q1 FY27 revenue +43%, PAT +95%). The entire problem is price: at ~Rs 13,600 Cr the stock trades around 100-120x earnings, roughly 2.1-2.3x its March 2026 IPO price within five months.</w:t>
      </w:r>
    </w:p>
    <w:p>
      <w:pPr>
        <w:pStyle w:val="Heading1"/>
        <w:spacing w:after="120" w:before="280"/>
      </w:pPr>
      <w:r>
        <w:t xml:space="preserve">Technical Read (Weekly / Monthly MACD + Bollinger Bands, or RSI/CCI/Williams %R proxy)</w:t>
      </w:r>
    </w:p>
    <w:p>
      <w:pPr>
        <w:spacing w:after="120"/>
      </w:pPr>
      <w:r>
        <w:t xml:space="preserve">Not independently pulled. Thread notes the stock roughly doubled from the Rs 1,352 IPO price to ~Rs 2,900-3,100 by Aug 2026, with a sharp single-day drawdown in late June 2026 (attributed to a large holder selling / profit-taking on a vertical move).</w:t>
      </w:r>
    </w:p>
    <w:p>
      <w:pPr>
        <w:pStyle w:val="Heading1"/>
        <w:spacing w:after="120" w:before="280"/>
      </w:pPr>
      <w:r>
        <w:t xml:space="preserve">ValuePickr Community Signal</w:t>
      </w:r>
    </w:p>
    <w:p>
      <w:pPr>
        <w:spacing w:after="120"/>
      </w:pPr>
      <w:r>
        <w:t xml:space="preserve">Read the full thread (16 posts), May to Aug 2026. Sentiment is bullish on the business and openly nervous on valuation. prchou83's opener and Q1 FY27 update lay out the compounding record and the MF3 (ECU) / MF4 (motor) capacity that underpins the next leg. gaurav ('absolutely blown away... such business and promoter are rare', invested) and hardik_shah1 frame it as a 'don't focus on the quarterly numbers, focus on whether they keep climbing the tech ladder' bet - if they move into CV/PV the numbers become 'mind-boggling', if they falter the thesis breaks. The bears (shyamutty, several others) stress: 118x P/E with 'essentially zero margin of safety', a PEG that only works if ~130% PAT CAGR persists, and - repeatedly - that this was a 100% offer-for-sale IPO (the company received no fresh capital; promoters and early PE investors sold), with a six-month lock-in expiring September 2026 and 'return-driven financial sponsors with LP redemption cycles' being exactly the holders who trim into a sharp re-rating. Management has said it will only do half-yearly calls as the business does not change quarter to quarter.</w:t>
      </w:r>
    </w:p>
    <w:p>
      <w:pPr>
        <w:spacing w:after="120"/>
      </w:pPr>
      <w:r>
        <w:rPr>
          <w:b/>
          <w:bCs/>
          <w:sz w:val="20"/>
          <w:szCs w:val="20"/>
        </w:rPr>
        <w:t xml:space="preserve">High-conviction call from a top contributor: </w:t>
      </w:r>
      <w:r>
        <w:rPr>
          <w:sz w:val="20"/>
          <w:szCs w:val="20"/>
        </w:rPr>
        <w:t xml:space="preserve">No roster/trusted users. gaurav (13 loves on his ISG deep-dive, 16 on his patents post) is the most substantive contributor and is invested and bullish on the long-term tech-ladder thesis, but explicitly acknowledges 'the risk is real and high'. No one is calling it a buy at the current multiple.</w:t>
      </w:r>
    </w:p>
    <w:p>
      <w:pPr>
        <w:pStyle w:val="Heading1"/>
        <w:spacing w:after="120" w:before="280"/>
      </w:pPr>
      <w:r>
        <w:t xml:space="preserve">BSE Corporate Actions / Other Red Flags</w:t>
      </w:r>
    </w:p>
    <w:p>
      <w:pPr>
        <w:spacing w:after="120"/>
      </w:pPr>
      <w:r>
        <w:t xml:space="preserve">IPO 11 March 2026 was a 100% offer-for-sale (issue price Rs 1,352) - no primary proceeds to the company; promoters/early investors sold their entire offered stake. Six-month pre-IPO lock-in expires September 2026. Management transparently published an internal risk-perception survey of its own DII/FII holders.</w:t>
      </w:r>
    </w:p>
    <w:p>
      <w:pPr>
        <w:pStyle w:val="Heading1"/>
        <w:spacing w:after="120" w:before="280"/>
      </w:pPr>
      <w:r>
        <w:t xml:space="preserve">Bull Case</w:t>
      </w:r>
    </w:p>
    <w:p>
      <w:pPr>
        <w:pStyle w:val="ListParagraph"/>
        <w:numPr>
          <w:ilvl w:val="0"/>
          <w:numId w:val="1"/>
        </w:numPr>
        <w:spacing w:after="60"/>
      </w:pPr>
      <w:r>
        <w:t xml:space="preserve">~35% ROCE, ~27% ROE, ~20% EBITDA margins, capital-light, net-cash-trending - elite economics for an auto-ancillary</w:t>
      </w:r>
    </w:p>
    <w:p>
      <w:pPr>
        <w:pStyle w:val="ListParagraph"/>
        <w:numPr>
          <w:ilvl w:val="0"/>
          <w:numId w:val="1"/>
        </w:numPr>
        <w:spacing w:after="60"/>
      </w:pPr>
      <w:r>
        <w:t xml:space="preserve">Genuine, patented technology moat in control electronics; clear roadmap up the value chain (ECU -&gt; ISG -&gt; MCU -&gt; motors -&gt; power tools -&gt; CV/PV)</w:t>
      </w:r>
    </w:p>
    <w:p>
      <w:pPr>
        <w:pStyle w:val="ListParagraph"/>
        <w:numPr>
          <w:ilvl w:val="0"/>
          <w:numId w:val="1"/>
        </w:numPr>
        <w:spacing w:after="60"/>
      </w:pPr>
      <w:r>
        <w:t xml:space="preserve">PAT compounding ~129% over three years; Q1 FY27 revenue +43% / PAT +95% with margin expansion; new MF3/MF4 lines add capacity for the next leg</w:t>
      </w:r>
    </w:p>
    <w:p>
      <w:pPr>
        <w:pStyle w:val="ListParagraph"/>
        <w:numPr>
          <w:ilvl w:val="0"/>
          <w:numId w:val="1"/>
        </w:numPr>
        <w:spacing w:after="60"/>
      </w:pPr>
      <w:r>
        <w:t xml:space="preserve">~35% penetration in a key 2W product with room to grow, plus EV MCUs and 3W ECU exports ramping</w:t>
      </w:r>
    </w:p>
    <w:p>
      <w:pPr>
        <w:pStyle w:val="ListParagraph"/>
        <w:numPr>
          <w:ilvl w:val="0"/>
          <w:numId w:val="1"/>
        </w:numPr>
        <w:spacing w:after="60"/>
      </w:pPr>
      <w:r>
        <w:t xml:space="preserve">Rare founder-promoter quality repeatedly cited by engaged investors</w:t>
      </w:r>
    </w:p>
    <w:p>
      <w:pPr>
        <w:pStyle w:val="Heading1"/>
        <w:spacing w:after="120" w:before="280"/>
      </w:pPr>
      <w:r>
        <w:t xml:space="preserve">Bear Case / Key Risks</w:t>
      </w:r>
    </w:p>
    <w:p>
      <w:pPr>
        <w:pStyle w:val="ListParagraph"/>
        <w:numPr>
          <w:ilvl w:val="0"/>
          <w:numId w:val="1"/>
        </w:numPr>
        <w:spacing w:after="60"/>
      </w:pPr>
      <w:r>
        <w:t xml:space="preserve">~100-120x P/E with, in the thread's own words, 'essentially zero margin of safety' - the multiple only holds if hyper-growth persists for years</w:t>
      </w:r>
    </w:p>
    <w:p>
      <w:pPr>
        <w:pStyle w:val="ListParagraph"/>
        <w:numPr>
          <w:ilvl w:val="0"/>
          <w:numId w:val="1"/>
        </w:numPr>
        <w:spacing w:after="60"/>
      </w:pPr>
      <w:r>
        <w:t xml:space="preserve">100% offer-for-sale IPO (no primary capital) - existing insiders who know the business best sold their entire offered stake at Rs 1,352; stock is now ~2x that</w:t>
      </w:r>
    </w:p>
    <w:p>
      <w:pPr>
        <w:pStyle w:val="ListParagraph"/>
        <w:numPr>
          <w:ilvl w:val="0"/>
          <w:numId w:val="1"/>
        </w:numPr>
        <w:spacing w:after="60"/>
      </w:pPr>
      <w:r>
        <w:t xml:space="preserve">Six-month lock-in expires September 2026 with PE/financial sponsors on LP redemption clocks - a well-telegraphed supply overhang into a sharp re-rating</w:t>
      </w:r>
    </w:p>
    <w:p>
      <w:pPr>
        <w:pStyle w:val="ListParagraph"/>
        <w:numPr>
          <w:ilvl w:val="0"/>
          <w:numId w:val="1"/>
        </w:numPr>
        <w:spacing w:after="60"/>
      </w:pPr>
      <w:r>
        <w:t xml:space="preserve">End-markets (ICE 2W/3W) are mature; the growth case depends on penetration gains, aftermarket, exports and an unproven move into CV/PV</w:t>
      </w:r>
    </w:p>
    <w:p>
      <w:pPr>
        <w:pStyle w:val="ListParagraph"/>
        <w:numPr>
          <w:ilvl w:val="0"/>
          <w:numId w:val="1"/>
        </w:numPr>
        <w:spacing w:after="60"/>
      </w:pPr>
      <w:r>
        <w:t xml:space="preserve">Raw-material cost inflation already pressured Q1 FY27 EBITDA; half-yearly-only calls reduce disclosure cadence</w:t>
      </w:r>
    </w:p>
    <w:p>
      <w:pPr>
        <w:pStyle w:val="ListParagraph"/>
        <w:numPr>
          <w:ilvl w:val="0"/>
          <w:numId w:val="1"/>
        </w:numPr>
        <w:spacing w:after="60"/>
      </w:pPr>
      <w:r>
        <w:t xml:space="preserve">At ~Rs 13,600 Cr, a 10x in 2-3 years implies ~Rs 1.4 lakh Cr - not credible; even bulls' FY28 PAT of ~Rs 194 Cr at 63x is still an aggressive multiple</w:t>
      </w:r>
    </w:p>
    <w:p>
      <w:pPr>
        <w:pStyle w:val="Heading1"/>
        <w:spacing w:after="120" w:before="280"/>
      </w:pPr>
      <w:r>
        <w:t xml:space="preserve">Market-Cap Tier (informational — not a gate in this project)</w:t>
      </w:r>
    </w:p>
    <w:p>
      <w:pPr>
        <w:spacing w:after="120"/>
      </w:pPr>
      <w:r>
        <w:rPr>
          <w:b/>
          <w:bCs/>
        </w:rPr>
        <w:t xml:space="preserve">Mid-cap (~Rs 13,612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Elite business, wrong price: quality easily clears the gate but a ~120x multiple, an all-OFS IPO and a September lock-in expiry mean the 10x/2-3yr and 100x/10yr slopes are not there from here</w:t>
      </w:r>
    </w:p>
    <w:p>
      <w:pPr>
        <w:pStyle w:val="ListParagraph"/>
        <w:numPr>
          <w:ilvl w:val="0"/>
          <w:numId w:val="1"/>
        </w:numPr>
        <w:spacing w:after="60"/>
      </w:pPr>
      <w:r>
        <w:t xml:space="preserve">This is a valuation filter-out, not a quality filter-out - ~35% ROCE, patented moat and ~130% PAT CAGR are exactly what the thesis wants</w:t>
      </w:r>
    </w:p>
    <w:p>
      <w:pPr>
        <w:pStyle w:val="ListParagraph"/>
        <w:numPr>
          <w:ilvl w:val="0"/>
          <w:numId w:val="1"/>
        </w:numPr>
        <w:spacing w:after="60"/>
      </w:pPr>
      <w:r>
        <w:t xml:space="preserve">At ~Rs 13,600 Cr and ~100-120x earnings the known hyper-growth is more than priced; the near-term risk is skewed down by the September 2026 lock-in expiry and PE-sponsor selling pressure noted by multiple posters</w:t>
      </w:r>
    </w:p>
    <w:p>
      <w:pPr>
        <w:pStyle w:val="ListParagraph"/>
        <w:numPr>
          <w:ilvl w:val="0"/>
          <w:numId w:val="1"/>
        </w:numPr>
        <w:spacing w:after="60"/>
      </w:pPr>
      <w:r>
        <w:t xml:space="preserve">Not in the old 108-stock project. Conviction MEDIUM (business quality high, thesis-fit absent). Re-check if the multiple compresses materially (e.g. toward 40-50x) while growth holds, or after the lock-in overhang clears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2026-08-29T08:22:52.071Z</dcterms:created>
  <dcterms:modified xsi:type="dcterms:W3CDTF">2026-08-29T08:22:52.074Z</dcterms:modified>
</cp:coreProperties>
</file>

<file path=docProps/custom.xml><?xml version="1.0" encoding="utf-8"?>
<Properties xmlns="http://schemas.openxmlformats.org/officeDocument/2006/custom-properties" xmlns:vt="http://schemas.openxmlformats.org/officeDocument/2006/docPropsVTypes"/>
</file>