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Shanthi Gears Ltd</w:t>
      </w:r>
    </w:p>
    <w:p>
      <w:pPr>
        <w:pBdr>
          <w:bottom w:val="single" w:color="CCCCCC" w:sz="6" w:space="8"/>
        </w:pBdr>
        <w:spacing w:after="200"/>
      </w:pPr>
      <w:r>
        <w:rPr>
          <w:i/>
          <w:iCs/>
          <w:color w:val="666666"/>
          <w:sz w:val="22"/>
          <w:szCs w:val="22"/>
        </w:rPr>
        <w:t xml:space="preserve">Murugappa-group gear manufacturer with a record order book, rich valuation, and fresh promoter buying alongside fresh executive attrition</w:t>
      </w:r>
    </w:p>
    <w:p>
      <w:pPr>
        <w:pStyle w:val="Heading1"/>
        <w:spacing w:after="120" w:before="280"/>
      </w:pPr>
      <w:r>
        <w:t xml:space="preserve">Business Overview</w:t>
      </w:r>
    </w:p>
    <w:p>
      <w:pPr>
        <w:spacing w:after="120"/>
      </w:pPr>
      <w:r>
        <w:t xml:space="preserve">Shanthi Gears manufactures industrial gears, part of the Murugappa group (majority owned by Tube Investments of India). Company does not hold investor concalls or release much beyond mandated disclosures, making it a relatively opaque but historically well-regarded industrial compounder.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3,570 Cr</w:t>
            </w:r>
          </w:p>
        </w:tc>
      </w:tr>
      <w:tr>
        <w:tc>
          <w:tcPr>
            <w:tcW w:type="dxa" w:w="3200"/>
            <w:shd w:fill="F2F2F2" w:val="clear"/>
          </w:tcPr>
          <w:p>
            <w:r>
              <w:rPr>
                <w:b/>
                <w:bCs/>
              </w:rPr>
              <w:t xml:space="preserve">ROE</w:t>
            </w:r>
          </w:p>
        </w:tc>
        <w:tc>
          <w:tcPr>
            <w:tcW w:type="dxa" w:w="5800"/>
          </w:tcPr>
          <w:p>
            <w:r>
              <w:t xml:space="preserve">17.09%</w:t>
            </w:r>
          </w:p>
        </w:tc>
      </w:tr>
      <w:tr>
        <w:tc>
          <w:tcPr>
            <w:tcW w:type="dxa" w:w="3200"/>
            <w:shd w:fill="F2F2F2" w:val="clear"/>
          </w:tcPr>
          <w:p>
            <w:r>
              <w:rPr>
                <w:b/>
                <w:bCs/>
              </w:rPr>
              <w:t xml:space="preserve">ROCE</w:t>
            </w:r>
          </w:p>
        </w:tc>
        <w:tc>
          <w:tcPr>
            <w:tcW w:type="dxa" w:w="5800"/>
          </w:tcPr>
          <w:p>
            <w:r>
              <w:t xml:space="preserve">23.73%</w:t>
            </w:r>
          </w:p>
        </w:tc>
      </w:tr>
      <w:tr>
        <w:tc>
          <w:tcPr>
            <w:tcW w:type="dxa" w:w="3200"/>
            <w:shd w:fill="F2F2F2" w:val="clear"/>
          </w:tcPr>
          <w:p>
            <w:r>
              <w:rPr>
                <w:b/>
                <w:bCs/>
              </w:rPr>
              <w:t xml:space="preserve">Revenue growth</w:t>
            </w:r>
          </w:p>
        </w:tc>
        <w:tc>
          <w:tcPr>
            <w:tcW w:type="dxa" w:w="5800"/>
          </w:tcPr>
          <w:p>
            <w:r>
              <w:t xml:space="preserve">19.20% CAGR (vs 12.96% industry median)</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52-week range</w:t>
            </w:r>
          </w:p>
        </w:tc>
        <w:tc>
          <w:tcPr>
            <w:tcW w:type="dxa" w:w="5800"/>
          </w:tcPr>
          <w:p>
            <w:r>
              <w:t xml:space="preserve">Rs 385.7 - 596.4</w:t>
            </w:r>
          </w:p>
        </w:tc>
      </w:tr>
    </w:tbl>
    <w:p>
      <w:pPr>
        <w:spacing w:after="100"/>
      </w:pPr>
    </w:p>
    <w:p>
      <w:pPr>
        <w:spacing w:after="120"/>
      </w:pPr>
      <w:r>
        <w:t xml:space="preserve">Genuinely strong quality metrics (23.73% ROCE, debt-free, above-industry growth) but a trusted long-term holder explicitly flagged valuation as rich even in mid-2024, and the stock has continued climbing since. Order book recently hit an all-time high of Rs 378 Cr unexecuted, though Q1 FY27 results were described as 'muted' against that backdrop.</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entire thread (14 posts, single batch spanning 2012-2026, no escalation needed — most of the useful history is recent). The thread was largely dormant/thin until trusted user Chandragupta revived it in 2023 with substantive company background; recent 2026 posts (atishay_jain1) flag a mixed picture of record order book alongside management attrition.</w:t>
      </w:r>
    </w:p>
    <w:p>
      <w:pPr>
        <w:spacing w:after="120"/>
      </w:pPr>
      <w:r>
        <w:rPr>
          <w:b/>
          <w:bCs/>
          <w:sz w:val="20"/>
          <w:szCs w:val="20"/>
        </w:rPr>
        <w:t xml:space="preserve">High-conviction call from a top contributor: </w:t>
      </w:r>
      <w:r>
        <w:rPr>
          <w:sz w:val="20"/>
          <w:szCs w:val="20"/>
        </w:rPr>
        <w:t xml:space="preserve">Trusted-roster user Chandragupta has tracked this company since 2023 and confirmed active conviction in Jul 2024: 'Yes, I am still invested in this. Fundamentals are strong and industry tailwinds are favorable but valuation is rich' — logged as a high-conviction call given the explicit confirmed-holding language, though it's tempered by his own valuation caution. Most recent posts (atishay_jain1, Jul-Aug 2026) are more concerning: 'Muted Q1FY27... Most concerning thing is multiple high level exits in recent times. Just recently Head - Strategic Sourcing has resigned' — but also reported fresh, large promoter buying: Tube Investments of India acquired an additional 2.69% stake for Rs 77.49 Cr on 2026-08-21 (the day before this analysis), taking its holding from 70.46% to 73.16%.</w:t>
      </w:r>
    </w:p>
    <w:p>
      <w:pPr>
        <w:pStyle w:val="Heading1"/>
        <w:spacing w:after="120" w:before="280"/>
      </w:pPr>
      <w:r>
        <w:t xml:space="preserve">BSE Corporate Actions / Other Red Flags</w:t>
      </w:r>
    </w:p>
    <w:p>
      <w:pPr>
        <w:spacing w:after="120"/>
      </w:pPr>
      <w:r>
        <w:t xml:space="preserve">Promoter (Tube Investments of India / Murugappa group) increased stake to 73.16% via a Rs 77.49 Cr on-market purchase on 2026-08-21 — a strong, very recent, and verifiable insider-conviction signal.</w:t>
      </w:r>
    </w:p>
    <w:p>
      <w:pPr>
        <w:pStyle w:val="Heading1"/>
        <w:spacing w:after="120" w:before="280"/>
      </w:pPr>
      <w:r>
        <w:t xml:space="preserve">Bull Case</w:t>
      </w:r>
    </w:p>
    <w:p>
      <w:pPr>
        <w:pStyle w:val="ListParagraph"/>
        <w:numPr>
          <w:ilvl w:val="0"/>
          <w:numId w:val="1"/>
        </w:numPr>
        <w:spacing w:after="60"/>
      </w:pPr>
      <w:r>
        <w:t xml:space="preserve">Strong quality metrics — 23.73% ROCE, debt-free, revenue growth ahead of industry — under a reputable, well-capitalized promoter group (Murugappa/TII)</w:t>
      </w:r>
    </w:p>
    <w:p>
      <w:pPr>
        <w:pStyle w:val="ListParagraph"/>
        <w:numPr>
          <w:ilvl w:val="0"/>
          <w:numId w:val="1"/>
        </w:numPr>
        <w:spacing w:after="60"/>
      </w:pPr>
      <w:r>
        <w:t xml:space="preserve">Order book at an all-time high (Rs 378 Cr unexecuted) signals real demand strength</w:t>
      </w:r>
    </w:p>
    <w:p>
      <w:pPr>
        <w:pStyle w:val="ListParagraph"/>
        <w:numPr>
          <w:ilvl w:val="0"/>
          <w:numId w:val="1"/>
        </w:numPr>
        <w:spacing w:after="60"/>
      </w:pPr>
      <w:r>
        <w:t xml:space="preserve">Very fresh, large promoter stake increase (Rs 77.49 Cr, 2.69% of equity) the day before this analysis is a strong, dated conviction signal</w:t>
      </w:r>
    </w:p>
    <w:p>
      <w:pPr>
        <w:pStyle w:val="ListParagraph"/>
        <w:numPr>
          <w:ilvl w:val="0"/>
          <w:numId w:val="1"/>
        </w:numPr>
        <w:spacing w:after="60"/>
      </w:pPr>
      <w:r>
        <w:t xml:space="preserve">Trusted long-term community tracker confirmed an active, fundamentals-based holding as recently as mid-2024</w:t>
      </w:r>
    </w:p>
    <w:p>
      <w:pPr>
        <w:pStyle w:val="Heading1"/>
        <w:spacing w:after="120" w:before="280"/>
      </w:pPr>
      <w:r>
        <w:t xml:space="preserve">Bear Case / Key Risks</w:t>
      </w:r>
    </w:p>
    <w:p>
      <w:pPr>
        <w:pStyle w:val="ListParagraph"/>
        <w:numPr>
          <w:ilvl w:val="0"/>
          <w:numId w:val="1"/>
        </w:numPr>
        <w:spacing w:after="60"/>
      </w:pPr>
      <w:r>
        <w:t xml:space="preserve">A trusted long-term holder explicitly flagged the valuation as 'rich' over two years ago, and the stock has risen further since</w:t>
      </w:r>
    </w:p>
    <w:p>
      <w:pPr>
        <w:pStyle w:val="ListParagraph"/>
        <w:numPr>
          <w:ilvl w:val="0"/>
          <w:numId w:val="1"/>
        </w:numPr>
        <w:spacing w:after="60"/>
      </w:pPr>
      <w:r>
        <w:t xml:space="preserve">Muted Q1 FY27 results despite the record order book raise a real, current execution question</w:t>
      </w:r>
    </w:p>
    <w:p>
      <w:pPr>
        <w:pStyle w:val="ListParagraph"/>
        <w:numPr>
          <w:ilvl w:val="0"/>
          <w:numId w:val="1"/>
        </w:numPr>
        <w:spacing w:after="60"/>
      </w:pPr>
      <w:r>
        <w:t xml:space="preserve">Multiple recent high-level executive exits (including Head - Strategic Sourcing) are a fresh, unexplained organizational-stability concern that coincides with the muted quarter</w:t>
      </w:r>
    </w:p>
    <w:p>
      <w:pPr>
        <w:pStyle w:val="ListParagraph"/>
        <w:numPr>
          <w:ilvl w:val="0"/>
          <w:numId w:val="1"/>
        </w:numPr>
        <w:spacing w:after="60"/>
      </w:pPr>
      <w:r>
        <w:t xml:space="preserve">Company doesn't hold investor concalls or release much beyond mandated disclosures — genuine information opacity limits independent verification of what's driving the muted results or the exits</w:t>
      </w:r>
    </w:p>
    <w:p>
      <w:pPr>
        <w:pStyle w:val="Heading1"/>
        <w:spacing w:after="120" w:before="280"/>
      </w:pPr>
      <w:r>
        <w:t xml:space="preserve">Market-Cap Tier (informational — not a gate in this project)</w:t>
      </w:r>
    </w:p>
    <w:p>
      <w:pPr>
        <w:spacing w:after="120"/>
      </w:pPr>
      <w:r>
        <w:rPr>
          <w:b/>
          <w:bCs/>
        </w:rPr>
        <w:t xml:space="preserve">Small/Mid-cap (~Rs 3,570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Quality industrial compounder with a genuinely mixed, live signal set — strong promoter buying against fresh execution and attrition concerns</w:t>
      </w:r>
    </w:p>
    <w:p>
      <w:pPr>
        <w:pStyle w:val="ListParagraph"/>
        <w:numPr>
          <w:ilvl w:val="0"/>
          <w:numId w:val="1"/>
        </w:numPr>
        <w:spacing w:after="60"/>
      </w:pPr>
      <w:r>
        <w:t xml:space="preserve">Strong ROCE/debt-free fundamentals and a very fresh, large promoter purchase are real positives, but a trusted holder's own 'valuation is rich' caution plus fresh executive attrition and a muted quarter against a record order book are unresolved, current concerns</w:t>
      </w:r>
    </w:p>
    <w:p>
      <w:pPr>
        <w:pStyle w:val="ListParagraph"/>
        <w:numPr>
          <w:ilvl w:val="0"/>
          <w:numId w:val="1"/>
        </w:numPr>
        <w:spacing w:after="60"/>
      </w:pPr>
      <w:r>
        <w:t xml:space="preserve">The combination of positive (promoter buying, order book) and negative (attrition, muted results, rich valuation) signals landing simultaneously argues for tracking rather than conviction right now</w:t>
      </w:r>
    </w:p>
    <w:p>
      <w:pPr>
        <w:pStyle w:val="ListParagraph"/>
        <w:numPr>
          <w:ilvl w:val="0"/>
          <w:numId w:val="1"/>
        </w:numPr>
        <w:spacing w:after="60"/>
      </w:pPr>
      <w:r>
        <w:t xml:space="preserve">Information opacity (no concalls) makes it harder to resolve the muted-quarter/attrition question independently</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2026-08-22T03:49:11.819Z</dcterms:created>
  <dcterms:modified xsi:type="dcterms:W3CDTF">2026-08-22T03:49:11.828Z</dcterms:modified>
</cp:coreProperties>
</file>

<file path=docProps/custom.xml><?xml version="1.0" encoding="utf-8"?>
<Properties xmlns="http://schemas.openxmlformats.org/officeDocument/2006/custom-properties" xmlns:vt="http://schemas.openxmlformats.org/officeDocument/2006/docPropsVTypes"/>
</file>