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Shivalik Rasayan Ltd (SRL)</w:t>
      </w:r>
    </w:p>
    <w:p>
      <w:pPr>
        <w:pBdr>
          <w:bottom w:val="single" w:color="CCCCCC" w:sz="6" w:space="8"/>
        </w:pBdr>
        <w:spacing w:after="200"/>
      </w:pPr>
      <w:r>
        <w:rPr>
          <w:i/>
          <w:iCs/>
          <w:color w:val="666666"/>
          <w:sz w:val="22"/>
          <w:szCs w:val="22"/>
        </w:rPr>
        <w:t xml:space="preserve">A debt-free agrochemical-intermediates-to-pharma-API pivot showing its first turnaround-quarter numbers, but with a real, unanswered investor-communication gap and community skepticism about whether the improvement is durable</w:t>
      </w:r>
    </w:p>
    <w:p>
      <w:pPr>
        <w:pStyle w:val="Heading1"/>
        <w:spacing w:after="120" w:before="280"/>
      </w:pPr>
      <w:r>
        <w:t xml:space="preserve">Business Overview</w:t>
      </w:r>
    </w:p>
    <w:p>
      <w:pPr>
        <w:spacing w:after="120"/>
      </w:pPr>
      <w:r>
        <w:t xml:space="preserve">SRL is a legacy phosgene-chemistry-based agrochemical intermediates manufacturer (Dehradun) that has spent years and multiple capital raises (QIPs/preferential allotments at Rs 325-921/share historically) pivoting into pharma APIs (Dahej facility, USFDA nod Oct-2024) and oncology, partly via its ~39%-owned subsidiary Medicamen Biotech. Targeted filing 5 DMFs by Dec-2020 (a multi-year-old target); has filed 2 US patents in the agro business.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422 Cr</w:t>
            </w:r>
          </w:p>
        </w:tc>
      </w:tr>
      <w:tr>
        <w:tc>
          <w:tcPr>
            <w:tcW w:type="dxa" w:w="3200"/>
            <w:shd w:fill="F2F2F2" w:val="clear"/>
          </w:tcPr>
          <w:p>
            <w:r>
              <w:rPr>
                <w:b/>
                <w:bCs/>
              </w:rPr>
              <w:t xml:space="preserve">ROE / ROCE</w:t>
            </w:r>
          </w:p>
        </w:tc>
        <w:tc>
          <w:tcPr>
            <w:tcW w:type="dxa" w:w="5800"/>
          </w:tcPr>
          <w:p>
            <w:r>
              <w:t xml:space="preserve">2.68% (3yr avg) / ~3-4% — weak trailing profitability</w:t>
            </w:r>
          </w:p>
        </w:tc>
      </w:tr>
      <w:tr>
        <w:tc>
          <w:tcPr>
            <w:tcW w:type="dxa" w:w="3200"/>
            <w:shd w:fill="F2F2F2" w:val="clear"/>
          </w:tcPr>
          <w:p>
            <w:r>
              <w:rPr>
                <w:b/>
                <w:bCs/>
              </w:rPr>
              <w:t xml:space="preserve">Debt</w:t>
            </w:r>
          </w:p>
        </w:tc>
        <w:tc>
          <w:tcPr>
            <w:tcW w:type="dxa" w:w="5800"/>
          </w:tcPr>
          <w:p>
            <w:r>
              <w:t xml:space="preserve">Zero debt</w:t>
            </w:r>
          </w:p>
        </w:tc>
      </w:tr>
      <w:tr>
        <w:tc>
          <w:tcPr>
            <w:tcW w:type="dxa" w:w="3200"/>
            <w:shd w:fill="F2F2F2" w:val="clear"/>
          </w:tcPr>
          <w:p>
            <w:r>
              <w:rPr>
                <w:b/>
                <w:bCs/>
              </w:rPr>
              <w:t xml:space="preserve">Recent turnaround</w:t>
            </w:r>
          </w:p>
        </w:tc>
        <w:tc>
          <w:tcPr>
            <w:tcW w:type="dxa" w:w="5800"/>
          </w:tcPr>
          <w:p>
            <w:r>
              <w:t xml:space="preserve">Q1 FY27 (Jun-2026) consolidated PAT Rs14.97cr vs a Rs2.84cr loss YoY; revenue +18.3% YoY to Rs227.61cr; standalone PBT only Rs0.91cr (down from Rs4.49cr) — a material standalone-vs-consolidated divergence</w:t>
            </w:r>
          </w:p>
        </w:tc>
      </w:tr>
      <w:tr>
        <w:tc>
          <w:tcPr>
            <w:tcW w:type="dxa" w:w="3200"/>
            <w:shd w:fill="F2F2F2" w:val="clear"/>
          </w:tcPr>
          <w:p>
            <w:r>
              <w:rPr>
                <w:b/>
                <w:bCs/>
              </w:rPr>
              <w:t xml:space="preserve">Prior quarters</w:t>
            </w:r>
          </w:p>
        </w:tc>
        <w:tc>
          <w:tcPr>
            <w:tcW w:type="dxa" w:w="5800"/>
          </w:tcPr>
          <w:p>
            <w:r>
              <w:t xml:space="preserve">Q3 FY26 profit had plunged 49% on margin compression; Q4 FY26 sales grew but profitability concerns persisted per contemporaneous analyst commentary</w:t>
            </w:r>
          </w:p>
        </w:tc>
      </w:tr>
      <w:tr>
        <w:tc>
          <w:tcPr>
            <w:tcW w:type="dxa" w:w="3200"/>
            <w:shd w:fill="F2F2F2" w:val="clear"/>
          </w:tcPr>
          <w:p>
            <w:r>
              <w:rPr>
                <w:b/>
                <w:bCs/>
              </w:rPr>
              <w:t xml:space="preserve">52-week range</w:t>
            </w:r>
          </w:p>
        </w:tc>
        <w:tc>
          <w:tcPr>
            <w:tcW w:type="dxa" w:w="5800"/>
          </w:tcPr>
          <w:p>
            <w:r>
              <w:t xml:space="preserve">Rs 206.4 - 651 — a ~68% peak-to-trough drawdown before the recent turnaround print</w:t>
            </w:r>
          </w:p>
        </w:tc>
      </w:tr>
    </w:tbl>
    <w:p>
      <w:pPr>
        <w:spacing w:after="100"/>
      </w:pPr>
    </w:p>
    <w:p>
      <w:pPr>
        <w:spacing w:after="120"/>
      </w:pPr>
      <w:r>
        <w:t xml:space="preserve">A genuine weak-trailing/live-inflection setup on the surface (loss to Rs14.97cr profit YoY, revenue +18.3%), but the improvement is concentrated in API revenue and the standalone entity barely grew profit at all (Rs0.91cr PBT vs Rs4.49cr) — a real question, raised independently in the forum, about how much of the consolidated turnaround is durable versus a one-off or subsidiary-driven effect. Zero debt is a genuine balance-sheet strength throughout a multi-year history of heavy capex that has repeatedly taken longer than guided to convert to sales.</w:t>
      </w:r>
    </w:p>
    <w:p>
      <w:pPr>
        <w:pStyle w:val="Heading1"/>
        <w:spacing w:after="120" w:before="280"/>
      </w:pPr>
      <w:r>
        <w:t xml:space="preserve">Technical Read (Weekly / Monthly MACD + Bollinger Bands, or RSI/CCI/Williams %R proxy)</w:t>
      </w:r>
    </w:p>
    <w:p>
      <w:pPr>
        <w:spacing w:after="120"/>
      </w:pPr>
      <w:r>
        <w:t xml:space="preserve">Not independently pulled this pass; forum notes the stock has stayed range-bound/sideways despite the Q1 FY27 print, i.e. the market hasn't yet re-rated the turnaround.</w:t>
      </w:r>
    </w:p>
    <w:p>
      <w:pPr>
        <w:pStyle w:val="Heading1"/>
        <w:spacing w:after="120" w:before="280"/>
      </w:pPr>
      <w:r>
        <w:t xml:space="preserve">ValuePickr Community Signal</w:t>
      </w:r>
    </w:p>
    <w:p>
      <w:pPr>
        <w:spacing w:after="120"/>
      </w:pPr>
      <w:r>
        <w:t xml:space="preserve">Read the most recent 50 of 77 posts (2018-2026, first-time analysis). Long arc: 2018-2020 optimistic build-out narrative (API/oncology capex, promoter buying, Shilpa Medicare COO hire), 2022-2023 fundraising rounds and a director's frank admission the company 'has not been able to convert expensive capex plans to Sales,' a 2025 promoter-endorsed YouTube-analyst share, and a Jun-2026 turnaround print met with real skepticism about durability and a total absence of management communication.</w:t>
      </w:r>
    </w:p>
    <w:p>
      <w:pPr>
        <w:spacing w:after="120"/>
      </w:pPr>
      <w:r>
        <w:rPr>
          <w:b/>
          <w:bCs/>
          <w:sz w:val="20"/>
          <w:szCs w:val="20"/>
        </w:rPr>
        <w:t xml:space="preserve">High-conviction call from a top contributor: </w:t>
      </w:r>
      <w:r>
        <w:rPr>
          <w:sz w:val="20"/>
          <w:szCs w:val="20"/>
        </w:rPr>
        <w:t xml:space="preserve">justinwilson (not trusted, invested, Jun-2026): 'The numbers have started reflecting the turnaround story, finally!!' RaghuK (not trusted, Jun-2026) directly challenged this: 'The only visible improvement is on API revenue and how to say it's not one off? ... better to look at standalone numbers as their consolidated revenue is misleading. Unless they do concall and share some updates to minority investors, nothing can be gauged on turnaround.' hazariwalapu (not trusted) corroborated the communication gap: emailed the company 6 days prior with no reply, phone unanswered (Jun-2026), and as of the most recent post (Sep-2026) is still just asking whether anyone plans to attend the Sept-28 AGM — no fresh information has surfaced in three months. gurjeev (trusted, elevated) had earlier (2022) shared an informational note on subsidiary Medicamen Biotech without a strong directional call. vikasbargale (trusted, elevated, Feb-2025) shared a third-party bullish YouTube analysis (Sajal Kapoor) while disclosing being invested/biased — a pointer, not independent verification.</w:t>
      </w:r>
    </w:p>
    <w:p>
      <w:pPr>
        <w:pStyle w:val="Heading1"/>
        <w:spacing w:after="120" w:before="280"/>
      </w:pPr>
      <w:r>
        <w:t xml:space="preserve">BSE Corporate Actions / Other Red Flags</w:t>
      </w:r>
    </w:p>
    <w:p>
      <w:pPr>
        <w:spacing w:after="120"/>
      </w:pPr>
      <w:r>
        <w:t xml:space="preserve">Multiple historical preferential allotments/QIPs at Rs325-921/share funded the API/oncology build-out; a former director (Sanjay Bansal) sold 60,000 shares per a separate news item (not addressed in-thread) — a minor but unexplained insider-selling data point.</w:t>
      </w:r>
    </w:p>
    <w:p>
      <w:pPr>
        <w:pStyle w:val="Heading1"/>
        <w:spacing w:after="120" w:before="280"/>
      </w:pPr>
      <w:r>
        <w:t xml:space="preserve">Bull Case</w:t>
      </w:r>
    </w:p>
    <w:p>
      <w:pPr>
        <w:pStyle w:val="ListParagraph"/>
        <w:numPr>
          <w:ilvl w:val="0"/>
          <w:numId w:val="1"/>
        </w:numPr>
        <w:spacing w:after="60"/>
      </w:pPr>
      <w:r>
        <w:t xml:space="preserve">Zero debt throughout a multi-year, expensive capex programme — real balance-sheet discipline even when execution timelines slipped</w:t>
      </w:r>
    </w:p>
    <w:p>
      <w:pPr>
        <w:pStyle w:val="ListParagraph"/>
        <w:numPr>
          <w:ilvl w:val="0"/>
          <w:numId w:val="1"/>
        </w:numPr>
        <w:spacing w:after="60"/>
      </w:pPr>
      <w:r>
        <w:t xml:space="preserve">USFDA nod for the Dahej API facility (Oct-2024) is a genuine third-party quality validation, not just a company claim</w:t>
      </w:r>
    </w:p>
    <w:p>
      <w:pPr>
        <w:pStyle w:val="ListParagraph"/>
        <w:numPr>
          <w:ilvl w:val="0"/>
          <w:numId w:val="1"/>
        </w:numPr>
        <w:spacing w:after="60"/>
      </w:pPr>
      <w:r>
        <w:t xml:space="preserve">Q1 FY27 shows an actual swing from loss to Rs14.97cr consolidated profit with API revenue as the driver — some real signal, not pure narrative</w:t>
      </w:r>
    </w:p>
    <w:p>
      <w:pPr>
        <w:pStyle w:val="ListParagraph"/>
        <w:numPr>
          <w:ilvl w:val="0"/>
          <w:numId w:val="1"/>
        </w:numPr>
        <w:spacing w:after="60"/>
      </w:pPr>
      <w:r>
        <w:t xml:space="preserve">Phosgene-based specialty chemistry plus DMF-filing pharma pivot gives some technical differentiation versus a pure commodity agrochemical player</w:t>
      </w:r>
    </w:p>
    <w:p>
      <w:pPr>
        <w:pStyle w:val="Heading1"/>
        <w:spacing w:after="120" w:before="280"/>
      </w:pPr>
      <w:r>
        <w:t xml:space="preserve">Bear Case / Key Risks</w:t>
      </w:r>
    </w:p>
    <w:p>
      <w:pPr>
        <w:pStyle w:val="ListParagraph"/>
        <w:numPr>
          <w:ilvl w:val="0"/>
          <w:numId w:val="1"/>
        </w:numPr>
        <w:spacing w:after="60"/>
      </w:pPr>
      <w:r>
        <w:t xml:space="preserve">A real, unresolved investor-communication gap: no concalls, unanswered emails and phone calls to the company (as recently as Jun-2026), and zero fresh disclosure in the three months since — an active governance-transparency concern, not a resolved one</w:t>
      </w:r>
    </w:p>
    <w:p>
      <w:pPr>
        <w:pStyle w:val="ListParagraph"/>
        <w:numPr>
          <w:ilvl w:val="0"/>
          <w:numId w:val="1"/>
        </w:numPr>
        <w:spacing w:after="60"/>
      </w:pPr>
      <w:r>
        <w:t xml:space="preserve">The turnaround itself is directly and credibly disputed in-community: standalone PBT was nearly flat (Rs0.91cr vs Rs4.49cr) while consolidated profit swung sharply — raising a legitimate 'is the consolidated number telling the real story' question that management has not addressed</w:t>
      </w:r>
    </w:p>
    <w:p>
      <w:pPr>
        <w:pStyle w:val="ListParagraph"/>
        <w:numPr>
          <w:ilvl w:val="0"/>
          <w:numId w:val="1"/>
        </w:numPr>
        <w:spacing w:after="60"/>
      </w:pPr>
      <w:r>
        <w:t xml:space="preserve">Multi-year history of capex-to-sales conversion delays (explicitly conceded by a forum participant in 2023) — a real execution-credibility deficit that a single good quarter doesn't erase</w:t>
      </w:r>
    </w:p>
    <w:p>
      <w:pPr>
        <w:pStyle w:val="ListParagraph"/>
        <w:numPr>
          <w:ilvl w:val="0"/>
          <w:numId w:val="1"/>
        </w:numPr>
        <w:spacing w:after="60"/>
      </w:pPr>
      <w:r>
        <w:t xml:space="preserve">Weak trailing profitability (2.68% ROE, ~3-4% ROCE) means the business has not yet demonstrated it can sustain the kind of returns that would justify a re-rating</w:t>
      </w:r>
    </w:p>
    <w:p>
      <w:pPr>
        <w:pStyle w:val="ListParagraph"/>
        <w:numPr>
          <w:ilvl w:val="0"/>
          <w:numId w:val="1"/>
        </w:numPr>
        <w:spacing w:after="60"/>
      </w:pPr>
      <w:r>
        <w:t xml:space="preserve">No live-theme match on title/slug/excerpt despite genuine adjacency to the priority-1 CDMO/specialty-chemicals theme — the substring check found no hit</w:t>
      </w:r>
    </w:p>
    <w:p>
      <w:pPr>
        <w:pStyle w:val="Heading1"/>
        <w:spacing w:after="120" w:before="280"/>
      </w:pPr>
      <w:r>
        <w:t xml:space="preserve">Market-Cap Tier (informational — not a gate in this project)</w:t>
      </w:r>
    </w:p>
    <w:p>
      <w:pPr>
        <w:spacing w:after="120"/>
      </w:pPr>
      <w:r>
        <w:rPr>
          <w:b/>
          <w:bCs/>
        </w:rPr>
        <w:t xml:space="preserve">Small-cap (~Rs 422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weak · TAM: weak · moat: weak · valuation: weak  (score 2 / 4)</w:t>
      </w:r>
    </w:p>
    <w:p>
      <w:pPr>
        <w:spacing w:after="120"/>
      </w:pPr>
      <w:r>
        <w:rPr>
          <w:i/>
          <w:iCs/>
          <w:color w:val="666666"/>
          <w:sz w:val="20"/>
          <w:szCs w:val="20"/>
        </w:rPr>
        <w:t xml:space="preserve">Tailwind weak: Q1 FY27 turnaround (loss to Rs14.97cr profit) and the USFDA API-facility nod are real, but the community's own, unanswered doubt about whether this is one-off API revenue rather than a durable shift keeps this from 'yes'. TAM weak: dual agro-intermediates/pharma-API business lacks a single clear, sized addressable market in the record reviewed. Moat weak: phosgene chemistry + DMF filings give some technical differentiation, but a multi-year history of capex-to-sales conversion delays undercuts confidence in execution. Valuation weak: Rs422cr cap and zero debt are attractive on the surface, but with no management communication and a disputed earnings quality, there's no reliable anchor to call it cheap with confidence.</w:t>
      </w:r>
    </w:p>
    <w:p>
      <w:pPr>
        <w:pStyle w:val="Heading1"/>
        <w:spacing w:after="120" w:before="280"/>
      </w:pPr>
      <w:r>
        <w:t xml:space="preserve">Verdict</w:t>
      </w:r>
    </w:p>
    <w:p>
      <w:pPr>
        <w:spacing w:after="120"/>
      </w:pPr>
      <w:r>
        <w:rPr>
          <w:b/>
          <w:bCs/>
          <w:sz w:val="24"/>
          <w:szCs w:val="24"/>
        </w:rPr>
        <w:t xml:space="preserve">A real but unverified and uncommunicated turnaround — the trailing-weak/live-inflection exception is declined given the community's own, unanswered durability concerns</w:t>
      </w:r>
    </w:p>
    <w:p>
      <w:pPr>
        <w:pStyle w:val="ListParagraph"/>
        <w:numPr>
          <w:ilvl w:val="0"/>
          <w:numId w:val="1"/>
        </w:numPr>
        <w:spacing w:after="60"/>
      </w:pPr>
      <w:r>
        <w:t xml:space="preserve">No live-theme match on title/slug/excerpt (CDMO/specialty-chemicals priority-1 theme is adjacent given the pharma-API pivot, but the substring match rule found no literal hit at discovery time)</w:t>
      </w:r>
    </w:p>
    <w:p>
      <w:pPr>
        <w:pStyle w:val="ListParagraph"/>
        <w:numPr>
          <w:ilvl w:val="0"/>
          <w:numId w:val="1"/>
        </w:numPr>
        <w:spacing w:after="60"/>
      </w:pPr>
      <w:r>
        <w:t xml:space="preserve">Trailing-average-vs-live-inflection pattern is present (weak historical ROE/ROCE, a genuine Q1 FY27 turnaround quarter) but the exception to permit a 10x label is explicitly declined: the community itself has raised a credible, specific, and as-yet-unanswered doubt about whether the improvement is durable (API-only, standalone-vs-consolidated divergence) and management's total non-responsiveness to minority investors for months removes the ability to verify management's own read on it — directly analogous to how a similar governance-transparency gap led to declining the exception for another candidate in this pipeline</w:t>
      </w:r>
    </w:p>
    <w:p>
      <w:pPr>
        <w:pStyle w:val="ListParagraph"/>
        <w:numPr>
          <w:ilvl w:val="0"/>
          <w:numId w:val="1"/>
        </w:numPr>
        <w:spacing w:after="60"/>
      </w:pPr>
      <w:r>
        <w:t xml:space="preserve">Four-box score 2.0 (all four boxes weak) sits below the 3.0 bar and, per the decision table, requires a written exception to permit a return-magnitude label at the 2.0-2.5 band — no such exception is warranted here given the specific, unresolved verification gap</w:t>
      </w:r>
    </w:p>
    <w:p>
      <w:pPr>
        <w:pStyle w:val="ListParagraph"/>
        <w:numPr>
          <w:ilvl w:val="0"/>
          <w:numId w:val="1"/>
        </w:numPr>
        <w:spacing w:after="60"/>
      </w:pPr>
      <w:r>
        <w:t xml:space="preserve">Conviction Low-Medium: zero debt and a genuine USFDA nod are real positives, but this is a 'wait for the next concall or AGM update' situation, not an actionable turnaround call yet</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2026-09-05T13:22:04.591Z</dcterms:created>
  <dcterms:modified xsi:type="dcterms:W3CDTF">2026-09-05T13:22:04.597Z</dcterms:modified>
</cp:coreProperties>
</file>

<file path=docProps/custom.xml><?xml version="1.0" encoding="utf-8"?>
<Properties xmlns="http://schemas.openxmlformats.org/officeDocument/2006/custom-properties" xmlns:vt="http://schemas.openxmlformats.org/officeDocument/2006/docPropsVTypes"/>
</file>