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Shree Pushkar Chemicals &amp; Fertilisers Ltd</w:t>
      </w:r>
    </w:p>
    <w:p>
      <w:pPr>
        <w:pBdr>
          <w:bottom w:val="single" w:color="CCCCCC" w:sz="6" w:space="8"/>
        </w:pBdr>
        <w:spacing w:after="200"/>
      </w:pPr>
      <w:r>
        <w:rPr>
          <w:i/>
          <w:iCs/>
          <w:color w:val="666666"/>
          <w:sz w:val="22"/>
          <w:szCs w:val="22"/>
        </w:rPr>
        <w:t xml:space="preserve">Backward-integrated commodity dyes/intermediates + SSP fertiliser + animal-feed maker — net-cash and fairly valued, but a structurally low-return business with a decade-long record of margins drifting down and new SSP capacity coming into its core MP market</w:t>
      </w:r>
    </w:p>
    <w:p>
      <w:pPr>
        <w:pStyle w:val="Heading1"/>
        <w:spacing w:after="120" w:before="280"/>
      </w:pPr>
      <w:r>
        <w:t xml:space="preserve">Business Overview</w:t>
      </w:r>
    </w:p>
    <w:p>
      <w:pPr>
        <w:spacing w:after="120"/>
      </w:pPr>
      <w:r>
        <w:t xml:space="preserve">Shree Pushkar makes dyes and dye intermediates, single super phosphate (SSP) and NPK fertilisers (brands 'Madhva Bharat', 'Kisan'), and cattle/poultry feed, with backward integration into intermediates, captive solar power and sulphuric acid. Its plants are in Maharashtra and (Dewanganj / Unit-V) newer sites; SSP capacity is being expanded, much of it aimed at the Madhya Pradesh market.</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1,314 Cr (small-cap)</w:t>
            </w:r>
          </w:p>
        </w:tc>
      </w:tr>
      <w:tr>
        <w:tc>
          <w:tcPr>
            <w:tcW w:type="dxa" w:w="3200"/>
            <w:shd w:fill="F2F2F2" w:val="clear"/>
          </w:tcPr>
          <w:p>
            <w:r>
              <w:rPr>
                <w:b/>
                <w:bCs/>
              </w:rPr>
              <w:t xml:space="preserve">ROE / ROCE</w:t>
            </w:r>
          </w:p>
        </w:tc>
        <w:tc>
          <w:tcPr>
            <w:tcW w:type="dxa" w:w="5800"/>
          </w:tcPr>
          <w:p>
            <w:r>
              <w:t xml:space="preserve">~12.2% / ~15.3% (FY26)</w:t>
            </w:r>
          </w:p>
        </w:tc>
      </w:tr>
      <w:tr>
        <w:tc>
          <w:tcPr>
            <w:tcW w:type="dxa" w:w="3200"/>
            <w:shd w:fill="F2F2F2" w:val="clear"/>
          </w:tcPr>
          <w:p>
            <w:r>
              <w:rPr>
                <w:b/>
                <w:bCs/>
              </w:rPr>
              <w:t xml:space="preserve">FY26</w:t>
            </w:r>
          </w:p>
        </w:tc>
        <w:tc>
          <w:tcPr>
            <w:tcW w:type="dxa" w:w="5800"/>
          </w:tcPr>
          <w:p>
            <w:r>
              <w:t xml:space="preserve">Revenue Rs 976.6 Cr (+21%); EBITDA Rs 99.5 Cr (~10% margin); PAT Rs 70.1 Cr</w:t>
            </w:r>
          </w:p>
        </w:tc>
      </w:tr>
      <w:tr>
        <w:tc>
          <w:tcPr>
            <w:tcW w:type="dxa" w:w="3200"/>
            <w:shd w:fill="F2F2F2" w:val="clear"/>
          </w:tcPr>
          <w:p>
            <w:r>
              <w:rPr>
                <w:b/>
                <w:bCs/>
              </w:rPr>
              <w:t xml:space="preserve">Q1 FY27</w:t>
            </w:r>
          </w:p>
        </w:tc>
        <w:tc>
          <w:tcPr>
            <w:tcW w:type="dxa" w:w="5800"/>
          </w:tcPr>
          <w:p>
            <w:r>
              <w:t xml:space="preserve">Revenue Rs 280.1 Cr (+10% YoY); EBITDA Rs 31.9 Cr (+9.7%, margin ~11.4%); PAT Rs 22.9 Cr (+9.4%)</w:t>
            </w:r>
          </w:p>
        </w:tc>
      </w:tr>
      <w:tr>
        <w:tc>
          <w:tcPr>
            <w:tcW w:type="dxa" w:w="3200"/>
            <w:shd w:fill="F2F2F2" w:val="clear"/>
          </w:tcPr>
          <w:p>
            <w:r>
              <w:rPr>
                <w:b/>
                <w:bCs/>
              </w:rPr>
              <w:t xml:space="preserve">Balance sheet</w:t>
            </w:r>
          </w:p>
        </w:tc>
        <w:tc>
          <w:tcPr>
            <w:tcW w:type="dxa" w:w="5800"/>
          </w:tcPr>
          <w:p>
            <w:r>
              <w:t xml:space="preserve">Net-debt/equity ~-0.01 (essentially net cash); ~Rs 125 Cr in deposits</w:t>
            </w:r>
          </w:p>
        </w:tc>
      </w:tr>
      <w:tr>
        <w:tc>
          <w:tcPr>
            <w:tcW w:type="dxa" w:w="3200"/>
            <w:shd w:fill="F2F2F2" w:val="clear"/>
          </w:tcPr>
          <w:p>
            <w:r>
              <w:rPr>
                <w:b/>
                <w:bCs/>
              </w:rPr>
              <w:t xml:space="preserve">Capex</w:t>
            </w:r>
          </w:p>
        </w:tc>
        <w:tc>
          <w:tcPr>
            <w:tcW w:type="dxa" w:w="5800"/>
          </w:tcPr>
          <w:p>
            <w:r>
              <w:t xml:space="preserve">SSP / NPK expansion 'nearing the finish line'</w:t>
            </w:r>
          </w:p>
        </w:tc>
      </w:tr>
      <w:tr>
        <w:tc>
          <w:tcPr>
            <w:tcW w:type="dxa" w:w="3200"/>
            <w:shd w:fill="F2F2F2" w:val="clear"/>
          </w:tcPr>
          <w:p>
            <w:r>
              <w:rPr>
                <w:b/>
                <w:bCs/>
              </w:rPr>
              <w:t xml:space="preserve">Stock P/E</w:t>
            </w:r>
          </w:p>
        </w:tc>
        <w:tc>
          <w:tcPr>
            <w:tcW w:type="dxa" w:w="5800"/>
          </w:tcPr>
          <w:p>
            <w:r>
              <w:t xml:space="preserve">~18x trailing; ~1.5x book</w:t>
            </w:r>
          </w:p>
        </w:tc>
      </w:tr>
      <w:tr>
        <w:tc>
          <w:tcPr>
            <w:tcW w:type="dxa" w:w="3200"/>
            <w:shd w:fill="F2F2F2" w:val="clear"/>
          </w:tcPr>
          <w:p>
            <w:r>
              <w:rPr>
                <w:b/>
                <w:bCs/>
              </w:rPr>
              <w:t xml:space="preserve">Dilution</w:t>
            </w:r>
          </w:p>
        </w:tc>
        <w:tc>
          <w:tcPr>
            <w:tcW w:type="dxa" w:w="5800"/>
          </w:tcPr>
          <w:p>
            <w:r>
              <w:t xml:space="preserve">Repeated warrant issuances since the 2015 IPO despite claimed internal accruals (~4% cumulative dilution)</w:t>
            </w:r>
          </w:p>
        </w:tc>
      </w:tr>
    </w:tbl>
    <w:p>
      <w:pPr>
        <w:spacing w:after="100"/>
      </w:pPr>
    </w:p>
    <w:p>
      <w:pPr>
        <w:spacing w:after="120"/>
      </w:pPr>
      <w:r>
        <w:t xml:space="preserve">The business is stable and conservatively financed but structurally low-return. Revenue has grown but operating margin has drifted down over most of a decade — the two segments (dyes and fertiliser) rarely fire together: dyes/intermediates have been hit by weak textile demand (Bangladesh, Europe) and Chinese competition, while fertiliser is monsoon- and subsidy-cyclical. FY26 was a better year (both segments recovering), and Q1 FY27 grew ~10% on both lines with steady ~11% margins. The forward concern flagged on the thread is that both Shree Pushkar and Krishna Phoschem are adding SSP capacity into Madhya Pradesh, while Coromandel — with 54% of Baobab Mining for captive rock phosphate — is the best-integrated player in the segment.</w:t>
      </w:r>
    </w:p>
    <w:p>
      <w:pPr>
        <w:pStyle w:val="Heading1"/>
        <w:spacing w:after="120" w:before="280"/>
      </w:pPr>
      <w:r>
        <w:t xml:space="preserve">Technical Read (Weekly / Monthly MACD + Bollinger Bands, or RSI/CCI/Williams %R proxy)</w:t>
      </w:r>
    </w:p>
    <w:p>
      <w:pPr>
        <w:spacing w:after="120"/>
      </w:pPr>
      <w:r>
        <w:t xml:space="preserve">Not pulled. Thread carries 2023-2025 'accumulation' commentary (rising delivery percentages on low volumes) from rcinvestor999; nothing recent.</w:t>
      </w:r>
    </w:p>
    <w:p>
      <w:pPr>
        <w:pStyle w:val="Heading1"/>
        <w:spacing w:after="120" w:before="280"/>
      </w:pPr>
      <w:r>
        <w:t xml:space="preserve">ValuePickr Community Signal</w:t>
      </w:r>
    </w:p>
    <w:p>
      <w:pPr>
        <w:spacing w:after="120"/>
      </w:pPr>
      <w:r>
        <w:t xml:space="preserve">Thread of ~249 posts; the most recent ~50 read. Activity has thinned since 2024 and the recent posts are mostly data points rather than conviction. The recurring theme from long-term holders (enelay, Rohitsharma, Manpreet, Rahil_Dasani — none trusted) is frustration that margins keep compressing despite topline growth, traced to costs below the gross line rising faster than sales and to the need for both segments to perform simultaneously. rcinvestor999 (trusted, elevated) posted only technical 'accumulation' observations (2023-2025), no fundamental call. Neophyte (trusted, elevated) in Nov 2025 raised the MP SSP over-supply question and pointed to Coromandel's backward-integration advantage.</w:t>
      </w:r>
    </w:p>
    <w:p>
      <w:pPr>
        <w:spacing w:after="120"/>
      </w:pPr>
      <w:r>
        <w:rPr>
          <w:b/>
          <w:bCs/>
          <w:sz w:val="20"/>
          <w:szCs w:val="20"/>
        </w:rPr>
        <w:t xml:space="preserve">High-conviction call from a top contributor: </w:t>
      </w:r>
      <w:r>
        <w:rPr>
          <w:sz w:val="20"/>
          <w:szCs w:val="20"/>
        </w:rPr>
        <w:t xml:space="preserve">Neutral-to-cautious. No trusted buy call; the one substantive elevated-tier input (Neophyte) is a supply-side caution on the core SSP market. Long-term holders are lukewarm on the margin trajectory.</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2025-11-29 — Neophyte</w:t>
      </w:r>
      <w:r>
        <w:rPr>
          <w:i/>
          <w:iCs/>
          <w:color w:val="666666"/>
          <w:sz w:val="18"/>
          <w:szCs w:val="18"/>
        </w:rPr>
        <w:t xml:space="preserve"> (Shree Pushkar Chemicals)</w:t>
      </w:r>
      <w:r>
        <w:rPr>
          <w:sz w:val="20"/>
          <w:szCs w:val="20"/>
        </w:rPr>
        <w:br/>
        <w:t xml:space="preserve">: CAUTIOUS -- flagged that both Shree Pushkar and Krishna Phoschem are adding SSP capacity into Madhya Pradesh, and that Coromandel (54% of Baobab Mining, captive rock phosphate) is the best-secured supply chain in the segment</w:t>
      </w:r>
    </w:p>
    <w:p>
      <w:pPr>
        <w:pStyle w:val="Heading1"/>
        <w:spacing w:after="120" w:before="280"/>
      </w:pPr>
      <w:r>
        <w:t xml:space="preserve">BSE Corporate Actions / Other Red Flags</w:t>
      </w:r>
    </w:p>
    <w:p>
      <w:pPr>
        <w:spacing w:after="120"/>
      </w:pPr>
      <w:r>
        <w:t xml:space="preserve">No SEBI/fraud order, no going-concern issue; essentially net-cash. Mild historical shareholder-friendliness question over repeated warrant issuances despite claimed sufficient internal accruals (cumulative dilution only ~4% since IPO). No red_flag_tier.</w:t>
      </w:r>
    </w:p>
    <w:p>
      <w:pPr>
        <w:pStyle w:val="Heading1"/>
        <w:spacing w:after="120" w:before="280"/>
      </w:pPr>
      <w:r>
        <w:t xml:space="preserve">Bull Case</w:t>
      </w:r>
    </w:p>
    <w:p>
      <w:pPr>
        <w:pStyle w:val="ListParagraph"/>
        <w:numPr>
          <w:ilvl w:val="0"/>
          <w:numId w:val="1"/>
        </w:numPr>
        <w:spacing w:after="60"/>
      </w:pPr>
      <w:r>
        <w:t xml:space="preserve">Backward integration (captive intermediates, sulphuric acid, solar power) and a net-cash balance sheet with ~Rs 125 Cr of deposits</w:t>
      </w:r>
    </w:p>
    <w:p>
      <w:pPr>
        <w:pStyle w:val="ListParagraph"/>
        <w:numPr>
          <w:ilvl w:val="0"/>
          <w:numId w:val="1"/>
        </w:numPr>
        <w:spacing w:after="60"/>
      </w:pPr>
      <w:r>
        <w:t xml:space="preserve">FY26 recovery year with both segments improving; Q1 FY27 grew ~10% on revenue and PAT with steady margins</w:t>
      </w:r>
    </w:p>
    <w:p>
      <w:pPr>
        <w:pStyle w:val="ListParagraph"/>
        <w:numPr>
          <w:ilvl w:val="0"/>
          <w:numId w:val="1"/>
        </w:numPr>
        <w:spacing w:after="60"/>
      </w:pPr>
      <w:r>
        <w:t xml:space="preserve">SSP/NPK capacity expansion nearing completion; rabi-season fertiliser demand supportive near term</w:t>
      </w:r>
    </w:p>
    <w:p>
      <w:pPr>
        <w:pStyle w:val="ListParagraph"/>
        <w:numPr>
          <w:ilvl w:val="0"/>
          <w:numId w:val="1"/>
        </w:numPr>
        <w:spacing w:after="60"/>
      </w:pPr>
      <w:r>
        <w:t xml:space="preserve">Reasonable valuation (~18x trailing, ~1.5x book) with no leverage risk</w:t>
      </w:r>
    </w:p>
    <w:p>
      <w:pPr>
        <w:pStyle w:val="Heading1"/>
        <w:spacing w:after="120" w:before="280"/>
      </w:pPr>
      <w:r>
        <w:t xml:space="preserve">Bear Case / Key Risks</w:t>
      </w:r>
    </w:p>
    <w:p>
      <w:pPr>
        <w:pStyle w:val="ListParagraph"/>
        <w:numPr>
          <w:ilvl w:val="0"/>
          <w:numId w:val="1"/>
        </w:numPr>
        <w:spacing w:after="60"/>
      </w:pPr>
      <w:r>
        <w:t xml:space="preserve">Structurally low returns: ~12% ROE, ~10-11% EBITDA margin, and a decade-long trend of margins drifting down as below-gross costs outpace sales</w:t>
      </w:r>
    </w:p>
    <w:p>
      <w:pPr>
        <w:pStyle w:val="ListParagraph"/>
        <w:numPr>
          <w:ilvl w:val="0"/>
          <w:numId w:val="1"/>
        </w:numPr>
        <w:spacing w:after="60"/>
      </w:pPr>
      <w:r>
        <w:t xml:space="preserve">Two commodity segments that rarely fire together — dyes exposed to weak global textile demand and Chinese competition; fertiliser to monsoon and subsidy cycles</w:t>
      </w:r>
    </w:p>
    <w:p>
      <w:pPr>
        <w:pStyle w:val="ListParagraph"/>
        <w:numPr>
          <w:ilvl w:val="0"/>
          <w:numId w:val="1"/>
        </w:numPr>
        <w:spacing w:after="60"/>
      </w:pPr>
      <w:r>
        <w:t xml:space="preserve">New SSP capacity from Shree Pushkar AND Krishna Phoschem into the same MP market; Coromandel far better backward-integrated into rock phosphate</w:t>
      </w:r>
    </w:p>
    <w:p>
      <w:pPr>
        <w:pStyle w:val="ListParagraph"/>
        <w:numPr>
          <w:ilvl w:val="0"/>
          <w:numId w:val="1"/>
        </w:numPr>
        <w:spacing w:after="60"/>
      </w:pPr>
      <w:r>
        <w:t xml:space="preserve">No structural catalyst; thread activity and conviction have faded; external lead is not from a trusted source</w:t>
      </w:r>
    </w:p>
    <w:p>
      <w:pPr>
        <w:pStyle w:val="Heading1"/>
        <w:spacing w:after="120" w:before="280"/>
      </w:pPr>
      <w:r>
        <w:t xml:space="preserve">Market-Cap Tier (informational — not a gate in this project)</w:t>
      </w:r>
    </w:p>
    <w:p>
      <w:pPr>
        <w:spacing w:after="120"/>
      </w:pPr>
      <w:r>
        <w:rPr>
          <w:b/>
          <w:bCs/>
        </w:rPr>
        <w:t xml:space="preserve">Small-cap (~Rs 1,314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no · TAM: no · moat: weak · valuation: weak  (score 1 / 4)</w:t>
      </w:r>
    </w:p>
    <w:p>
      <w:pPr>
        <w:spacing w:after="120"/>
      </w:pPr>
      <w:r>
        <w:rPr>
          <w:i/>
          <w:iCs/>
          <w:color w:val="666666"/>
          <w:sz w:val="20"/>
          <w:szCs w:val="20"/>
        </w:rPr>
        <w:t xml:space="preserve">tailwind no (commodity dyes + cyclical SSP, no structural multi-year driver; new supply entering the core market). tam no (Rs 1,300 Cr mcap, margin-capped commodity business). moat weak (backward integration gives a modest cost edge, but 10-11% and falling EBITDA margin shows no pricing power). valuation weak (~18x / ~1.5x book is fair, not cheap, and not pricing any thesis). Score 1.0.</w:t>
      </w:r>
    </w:p>
    <w:p>
      <w:pPr>
        <w:pStyle w:val="Heading1"/>
        <w:spacing w:after="120" w:before="280"/>
      </w:pPr>
      <w:r>
        <w:t xml:space="preserve">Verdict</w:t>
      </w:r>
    </w:p>
    <w:p>
      <w:pPr>
        <w:spacing w:after="120"/>
      </w:pPr>
      <w:r>
        <w:rPr>
          <w:b/>
          <w:bCs/>
          <w:sz w:val="24"/>
          <w:szCs w:val="24"/>
        </w:rPr>
      </w:r>
    </w:p>
    <w:p>
      <w:pPr>
        <w:pStyle w:val="ListParagraph"/>
        <w:numPr>
          <w:ilvl w:val="0"/>
          <w:numId w:val="1"/>
        </w:numPr>
        <w:spacing w:after="60"/>
      </w:pPr>
      <w:r>
        <w:t xml:space="preserve">External-lead (tier 4.5). four_box score 1.0 -&gt; thesis_fit 'neither', hard (no exception permitted below 1.5). This is a stable, conservatively-run commodity chemical/fertiliser company with a genuine backward-integration cost story, but structurally low returns, a long record of margin compression, and fresh SSP supply entering its core Madhya Pradesh market leave no multi-bagger path.</w:t>
      </w:r>
    </w:p>
    <w:p>
      <w:pPr>
        <w:pStyle w:val="ListParagraph"/>
        <w:numPr>
          <w:ilvl w:val="0"/>
          <w:numId w:val="1"/>
        </w:numPr>
        <w:spacing w:after="60"/>
      </w:pPr>
      <w:r>
        <w:t xml:space="preserve">Conviction Low-Medium: net-cash and fairly valued protect the downside, and FY26 was a recovery year, but there is no catalyst and the elevated-tier commentary on file (Neophyte) is a supply-side caution. No red_flag_tier (the historical warrant-issuance point is a minor shareholder-friendliness quibble, ~4% cumulative dilution).</w:t>
      </w:r>
    </w:p>
    <w:p>
      <w:pPr>
        <w:pStyle w:val="ListParagraph"/>
        <w:numPr>
          <w:ilvl w:val="0"/>
          <w:numId w:val="1"/>
        </w:numPr>
        <w:spacing w:after="60"/>
      </w:pPr>
      <w:r>
        <w:t xml:space="preserve">Theme: nominal keyword overlap with the priority-2 'China-beating exporters' theme (dyes / intermediates), but Shree Pushkar is a ~10%-EBITDA commodity producer, not a 20%+-margin China-beater — not a genuine theme play. No revisit flag (thesis_fit neither). Re-check only if segment margins structurally re-rate.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2026-09-04T08:19:18.833Z</dcterms:created>
  <dcterms:modified xsi:type="dcterms:W3CDTF">2026-09-04T08:19:18.834Z</dcterms:modified>
</cp:coreProperties>
</file>

<file path=docProps/custom.xml><?xml version="1.0" encoding="utf-8"?>
<Properties xmlns="http://schemas.openxmlformats.org/officeDocument/2006/custom-properties" xmlns:vt="http://schemas.openxmlformats.org/officeDocument/2006/docPropsVTypes"/>
</file>