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Shree Refrigerations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SME-listed defense/marine HVAC play riding shipbuilding and data-center-cooling tailwinds, but the technical/R&amp;D story looks thin for the growth being guided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Shree Refrigerations designs and manufactures chillers, refrigeration and HVAC systems for marine/naval (warship AC and refrigeration panels) and industrial applications, recently entering data-center cooling via a tie-up with Smardt. SME-board listed (IPO Aug 2025).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1,427-1,508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~14.4% (one source cites 78% — likely a different base/period)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~17.98%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(3yr CAGR)</w:t>
            </w:r>
          </w:p>
        </w:tc>
        <w:tc>
          <w:tcPr>
            <w:tcW w:type="dxa" w:w="5800"/>
          </w:tcPr>
          <w:p>
            <w:r>
              <w:t xml:space="preserve">~30%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161 - 431.35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revenue growth off a small base (FY25 revenue Rs 98.7 Cr, PAT Rs 13.5 Cr) with real order-book tailwinds (defense/shipbuilding capex, new data-center cooling vertical), but management guidance of 40-50% CAGR over 4-5 years is aggressive relative to the company's demonstrated engineering depth.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— stock has been rallying on order-flow sentiment even without confirmed new order inflow as of the most recent post (2026-08-26).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(23 of 26 posts fetched, 2025-09 to 2026-08, single batch). Sentiment starts skeptical — multiple posters (Naresh, thevalueinvestor) flagged pre-IPO DRHP compliance issues (delayed GST/IT/PF filings) and questioned the 'technologically advanced' positioning given no visible engineering talent on LinkedIn and near-zero R&amp;D spend (117 employees, no dedicated R&amp;D line in the annual report). Sentiment turned more constructive from Mar 2026 as defense-sector order-book tailwinds (Mazagon Dock/Garden Reach corvette and submarine programs) and the Smardt data-center partnership gained traction, with management guiding 40-50% CAGR.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vivek_lakhani cautioned that for sub-Rs 2,000 Cr SME names with limited data history, conventional metrics and technicals are close to unusable — 'you just need to take leap of faith, believing in business &amp; management' over a 3-5 year horizon. Trusted user Shail1234 engaged constructively on a related supplier (CFF Fluid Control) but flagged that management visibility (interviews, concalls, media presence) is thin across the SME defense-supplier space generally.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2026-03-24 — vivek_lakhani</w:t>
      </w:r>
      <w:r>
        <w:rPr>
          <w:i/>
          <w:iCs/>
          <w:color w:val="666666"/>
          <w:sz w:val="18"/>
          <w:szCs w:val="18"/>
        </w:rPr>
        <w:t xml:space="preserve"> (Shree Refrigerations)</w:t>
      </w:r>
      <w:r>
        <w:rPr>
          <w:sz w:val="20"/>
          <w:szCs w:val="20"/>
        </w:rPr>
        <w:br/>
        <w:t xml:space="preserve">: Cautioned that for a micro-cap SME (~684 Cr mcap, ~3,381 shareholders) with limited operating history, conventional fundamental/technical analysis is largely futile and investors need a multi-year 'leap of faith' on business and management quality instead.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2025-09-30 — Niraj_Punjkaran</w:t>
      </w:r>
      <w:r>
        <w:rPr>
          <w:i/>
          <w:iCs/>
          <w:color w:val="666666"/>
          <w:sz w:val="18"/>
          <w:szCs w:val="18"/>
        </w:rPr>
        <w:t xml:space="preserve"> (Shree Refrigerations)</w:t>
      </w:r>
      <w:r>
        <w:rPr>
          <w:sz w:val="20"/>
          <w:szCs w:val="20"/>
        </w:rPr>
        <w:br/>
        <w:t xml:space="preserve">: Shared a pre-listing promoter interview without an explicit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DRHP risk-factor disclosures (pre-IPO) flagged delayed GST/Income Tax/PF filings as compliance weaknesses — not an active regulatory action, but a data point on internal-controls maturity for a company this age.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large addressable order-book tailwind: management cites &gt;Rs 1 lakh Cr of upcoming corvette/submarine orders from Mazagon Dock and Garden Reach over the next few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data-center cooling vertical (Smardt tie-up) targets a fast-growing, capital-light adjacent market with an explicit ambition to be a top-3 India player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~30% 3yr revenue CAGR and reasonable leverage (D/E ~0.36) even before the newer growth vectors ramp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visible engineering/R&amp;D bench for a company positioning itself as 'technologically advanced' — multiple posters found no credentialed engineers on the team's LinkedIn profiles and no R&amp;D spend line in the FY24 annual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Pre-IPO compliance history (delayed GST/IT/PF filings) suggests immature internal controls for a company that has existed since 1990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is stretched (long cash-conversion cycle, low CFO/EBITDA per a SOIC-sourced summary) even as the stock re-rates on order-flow sentiment ahead of confirmed order inflow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draw ~Rs 2 Cr in combined salary/rent to family members, roughly 2% of revenue — a related-party-heavy compensation structure for this size of company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1,427-1,508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defense/data-center order-book tailwinds, but the engineering depth and internal-controls maturity behind the growth guidance are both thin and largely unverified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sector tailwind (naval/shipbuilding capex, data-center cooling) and 30% trailing CAGR are specific and real enough to warrant a 10x-in-2-3-years tag, consistent with the project's inflection rule for small-caps with credible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conviction should stay Low given the R&amp;D/engineering-depth gap flagged directly by community due diligence, pre-IPO compliance weaknesses, and a trusted user's own caution that conventional analysis barely applies at this size and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revisiting once FY26/27 results test whether the 40-50% guided CAGR is achievable without the technical bench multiple posters could not verify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2026-08-26T17:12:18.279Z</dcterms:created>
  <dcterms:modified xsi:type="dcterms:W3CDTF">2026-08-26T17:12:18.280Z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