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Shri Jagdamba Polymers Ltd</w:t>
      </w:r>
    </w:p>
    <w:p>
      <w:pPr>
        <w:pBdr>
          <w:bottom w:val="single" w:color="CCCCCC" w:sz="6" w:space="8"/>
        </w:pBdr>
        <w:spacing w:after="200"/>
      </w:pPr>
      <w:r>
        <w:rPr>
          <w:i/>
          <w:iCs/>
          <w:color w:val="666666"/>
          <w:sz w:val="22"/>
          <w:szCs w:val="22"/>
        </w:rPr>
        <w:t xml:space="preserve">Cheap small-cap PP/PE woven-fabric maker with a strong recent quarter, but a documented CARE 'issuer non-cooperating' rating and years of unresolved promoter-integrity questions</w:t>
      </w:r>
    </w:p>
    <w:p>
      <w:pPr>
        <w:shd w:fill="FFF0F0" w:val="clear"/>
        <w:spacing w:after="200"/>
      </w:pPr>
      <w:r>
        <w:rPr>
          <w:b/>
          <w:bCs/>
          <w:color w:val="B8860B"/>
          <w:sz w:val="22"/>
          <w:szCs w:val="22"/>
        </w:rPr>
        <w:t xml:space="preserve">RED FLAG TIER: HIGH CAUTION — </w:t>
      </w:r>
      <w:r>
        <w:rPr>
          <w:sz w:val="20"/>
          <w:szCs w:val="20"/>
        </w:rPr>
        <w:t xml:space="preserve">CARE Ratings placed the company under 'issuer non-cooperating' status in April 2023, compounding a multi-year, multi-poster pattern of promoter-integrity concerns (favoring a private group company, a related-party loan, and a second related company listed in 2024) that remains unresolved as of the last available community discussion (Jan 2024).</w:t>
      </w:r>
    </w:p>
    <w:p>
      <w:pPr>
        <w:pStyle w:val="Heading1"/>
        <w:spacing w:after="120" w:before="280"/>
      </w:pPr>
      <w:r>
        <w:t xml:space="preserve">Business Overview</w:t>
      </w:r>
    </w:p>
    <w:p>
      <w:pPr>
        <w:spacing w:after="120"/>
      </w:pPr>
      <w:r>
        <w:t xml:space="preserve">Shri Jagdamba Polymers manufactures PP/PE woven fabric, bags, and technical textile products for packaging, agriculture, and infrastructure applications, exporting under the brand name Epilay.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504-523 Cr (small-cap)</w:t>
            </w:r>
          </w:p>
        </w:tc>
      </w:tr>
      <w:tr>
        <w:tc>
          <w:tcPr>
            <w:tcW w:type="dxa" w:w="3200"/>
            <w:shd w:fill="F2F2F2" w:val="clear"/>
          </w:tcPr>
          <w:p>
            <w:r>
              <w:rPr>
                <w:b/>
                <w:bCs/>
              </w:rPr>
              <w:t xml:space="preserve">ROCE</w:t>
            </w:r>
          </w:p>
        </w:tc>
        <w:tc>
          <w:tcPr>
            <w:tcW w:type="dxa" w:w="5800"/>
          </w:tcPr>
          <w:p>
            <w:r>
              <w:t xml:space="preserve">15.3%</w:t>
            </w:r>
          </w:p>
        </w:tc>
      </w:tr>
      <w:tr>
        <w:tc>
          <w:tcPr>
            <w:tcW w:type="dxa" w:w="3200"/>
            <w:shd w:fill="F2F2F2" w:val="clear"/>
          </w:tcPr>
          <w:p>
            <w:r>
              <w:rPr>
                <w:b/>
                <w:bCs/>
              </w:rPr>
              <w:t xml:space="preserve">ROE</w:t>
            </w:r>
          </w:p>
        </w:tc>
        <w:tc>
          <w:tcPr>
            <w:tcW w:type="dxa" w:w="5800"/>
          </w:tcPr>
          <w:p>
            <w:r>
              <w:t xml:space="preserve">12.6%</w:t>
            </w:r>
          </w:p>
        </w:tc>
      </w:tr>
      <w:tr>
        <w:tc>
          <w:tcPr>
            <w:tcW w:type="dxa" w:w="3200"/>
            <w:shd w:fill="F2F2F2" w:val="clear"/>
          </w:tcPr>
          <w:p>
            <w:r>
              <w:rPr>
                <w:b/>
                <w:bCs/>
              </w:rPr>
              <w:t xml:space="preserve">Stock P/E</w:t>
            </w:r>
          </w:p>
        </w:tc>
        <w:tc>
          <w:tcPr>
            <w:tcW w:type="dxa" w:w="5800"/>
          </w:tcPr>
          <w:p>
            <w:r>
              <w:t xml:space="preserve">12.8 (cheap)</w:t>
            </w:r>
          </w:p>
        </w:tc>
      </w:tr>
      <w:tr>
        <w:tc>
          <w:tcPr>
            <w:tcW w:type="dxa" w:w="3200"/>
            <w:shd w:fill="F2F2F2" w:val="clear"/>
          </w:tcPr>
          <w:p>
            <w:r>
              <w:rPr>
                <w:b/>
                <w:bCs/>
              </w:rPr>
              <w:t xml:space="preserve">Q1 FY27 (Jun 2026)</w:t>
            </w:r>
          </w:p>
        </w:tc>
        <w:tc>
          <w:tcPr>
            <w:tcW w:type="dxa" w:w="5800"/>
          </w:tcPr>
          <w:p>
            <w:r>
              <w:t xml:space="preserve">Net profit up 58.7% YoY to Rs 19.79 Cr; sales up 36.8% YoY to Rs 192.4 Cr</w:t>
            </w:r>
          </w:p>
        </w:tc>
      </w:tr>
      <w:tr>
        <w:tc>
          <w:tcPr>
            <w:tcW w:type="dxa" w:w="3200"/>
            <w:shd w:fill="F2F2F2" w:val="clear"/>
          </w:tcPr>
          <w:p>
            <w:r>
              <w:rPr>
                <w:b/>
                <w:bCs/>
              </w:rPr>
              <w:t xml:space="preserve">FY26 full year</w:t>
            </w:r>
          </w:p>
        </w:tc>
        <w:tc>
          <w:tcPr>
            <w:tcW w:type="dxa" w:w="5800"/>
          </w:tcPr>
          <w:p>
            <w:r>
              <w:t xml:space="preserve">Consolidated annual net profit down 24.6% YoY despite the strong Q1 FY27 rebound</w:t>
            </w:r>
          </w:p>
        </w:tc>
      </w:tr>
    </w:tbl>
    <w:p>
      <w:pPr>
        <w:spacing w:after="100"/>
      </w:pPr>
    </w:p>
    <w:p>
      <w:pPr>
        <w:spacing w:after="120"/>
      </w:pPr>
      <w:r>
        <w:t xml:space="preserve">This is a textbook case of a weak multi-year average (5yr sales growth just 11.8%, FY26 full-year profit down 24.6%) sitting alongside a genuinely strong, specific recent quarter -- Q1 FY27 profit up 58.7% YoY on 36.8% sales growth -- and a cheap headline multiple (P/E 12.8). On fundamentals alone this would be a live candidate for the recent-quarter-inflection pattern the thesis looks for.</w:t>
      </w:r>
    </w:p>
    <w:p>
      <w:pPr>
        <w:pStyle w:val="Heading1"/>
        <w:spacing w:after="120" w:before="280"/>
      </w:pPr>
      <w:r>
        <w:t xml:space="preserve">Technical Read (Weekly / Monthly MACD + Bollinger Bands, or RSI/CCI/Williams %R proxy)</w:t>
      </w:r>
    </w:p>
    <w:p>
      <w:pPr>
        <w:spacing w:after="120"/>
      </w:pPr>
      <w:r>
        <w:t xml:space="preserve">Stock jumped 11.4% on 2026-08-14 and 10.3% the day before, roughly doubling from Rs ~500-575 lows; no company-specific catalyst for the move was found in this pass beyond the strong Q1 result.</w:t>
      </w:r>
    </w:p>
    <w:p>
      <w:pPr>
        <w:pStyle w:val="Heading1"/>
        <w:spacing w:after="120" w:before="280"/>
      </w:pPr>
      <w:r>
        <w:t xml:space="preserve">ValuePickr Community Signal</w:t>
      </w:r>
    </w:p>
    <w:p>
      <w:pPr>
        <w:spacing w:after="120"/>
      </w:pPr>
      <w:r>
        <w:t xml:space="preserve">Read the full 17-post ValuePickr company thread (2018-2024). The thread is thin and old -- no posts since January 2024, meaning the community has not yet reacted to the August 2026 quarter or price move.</w:t>
      </w:r>
    </w:p>
    <w:p>
      <w:pPr>
        <w:spacing w:after="120"/>
      </w:pPr>
      <w:r>
        <w:rPr>
          <w:b/>
          <w:bCs/>
          <w:sz w:val="20"/>
          <w:szCs w:val="20"/>
        </w:rPr>
        <w:t xml:space="preserve">High-conviction call from a top contributor: </w:t>
      </w:r>
      <w:r>
        <w:rPr>
          <w:sz w:val="20"/>
          <w:szCs w:val="20"/>
        </w:rPr>
        <w:t xml:space="preserve">harsh.beria93 (trusted, elevated-tier) posted directly on the thread twice (2022) disclosing an active position and flagging rising export share (16% to 21% FY21-FY22) and a promoter share purchase. But earlier posts (2019-2020, non-trusted users) raised a real, unresolved promoter-integrity concern: the promoter family runs a private company (Shri Shakti Polyweave) that some posters believe is favored for capacity growth over the public listed entity, plus a flagged Rs 7.7 Cr related-party short-term loan. Separately, CARE Ratings placed the company's ratings under the 'issuer non-cooperating' category in April 2023 for not paying its surveillance fee -- a real, documented governance red flag. In 2024 the promoter family listed a separate company, Shri Techtex Ltd, on NSE, extending the same pattern of parallel private/related entities that predates this listed vehicle.</w:t>
      </w:r>
    </w:p>
    <w:p>
      <w:pPr>
        <w:pStyle w:val="Heading1"/>
        <w:spacing w:after="120" w:before="280"/>
      </w:pPr>
      <w:r>
        <w:t xml:space="preserve">BSE Corporate Actions / Other Red Flags</w:t>
      </w:r>
    </w:p>
    <w:p>
      <w:pPr>
        <w:spacing w:after="120"/>
      </w:pPr>
      <w:r>
        <w:t xml:space="preserve">CARE Ratings 'issuer non-cooperating' designation (April 2023) is a documented, verifiable governance flag -- not checked further for current status in this pass.</w:t>
      </w:r>
    </w:p>
    <w:p>
      <w:pPr>
        <w:pStyle w:val="Heading1"/>
        <w:spacing w:after="120" w:before="280"/>
      </w:pPr>
      <w:r>
        <w:t xml:space="preserve">Bull Case</w:t>
      </w:r>
    </w:p>
    <w:p>
      <w:pPr>
        <w:pStyle w:val="ListParagraph"/>
        <w:numPr>
          <w:ilvl w:val="0"/>
          <w:numId w:val="1"/>
        </w:numPr>
        <w:spacing w:after="60"/>
      </w:pPr>
      <w:r>
        <w:t xml:space="preserve">Genuinely strong Q1 FY27 (profit +58.7% YoY, sales +36.8% YoY) on a cheap P/E of 12.8</w:t>
      </w:r>
    </w:p>
    <w:p>
      <w:pPr>
        <w:pStyle w:val="ListParagraph"/>
        <w:numPr>
          <w:ilvl w:val="0"/>
          <w:numId w:val="1"/>
        </w:numPr>
        <w:spacing w:after="60"/>
      </w:pPr>
      <w:r>
        <w:t xml:space="preserve">A trusted user has held a position since 2022 and specifically flagged rising export share</w:t>
      </w:r>
    </w:p>
    <w:p>
      <w:pPr>
        <w:pStyle w:val="ListParagraph"/>
        <w:numPr>
          <w:ilvl w:val="0"/>
          <w:numId w:val="1"/>
        </w:numPr>
        <w:spacing w:after="60"/>
      </w:pPr>
      <w:r>
        <w:t xml:space="preserve">Small-cap base (~Rs 520 Cr) means a sustained re-rating could be sizable</w:t>
      </w:r>
    </w:p>
    <w:p>
      <w:pPr>
        <w:pStyle w:val="Heading1"/>
        <w:spacing w:after="120" w:before="280"/>
      </w:pPr>
      <w:r>
        <w:t xml:space="preserve">Bear Case / Key Risks</w:t>
      </w:r>
    </w:p>
    <w:p>
      <w:pPr>
        <w:pStyle w:val="ListParagraph"/>
        <w:numPr>
          <w:ilvl w:val="0"/>
          <w:numId w:val="1"/>
        </w:numPr>
        <w:spacing w:after="60"/>
      </w:pPr>
      <w:r>
        <w:t xml:space="preserve">CARE Ratings placed the company under 'issuer non-cooperating' in 2023 -- a real governance red flag that predates and is unrelated to this quarter's numbers</w:t>
      </w:r>
    </w:p>
    <w:p>
      <w:pPr>
        <w:pStyle w:val="ListParagraph"/>
        <w:numPr>
          <w:ilvl w:val="0"/>
          <w:numId w:val="1"/>
        </w:numPr>
        <w:spacing w:after="60"/>
      </w:pPr>
      <w:r>
        <w:t xml:space="preserve">Multiple posters over 2019-2020 flagged the promoter family appearing to favor a private company (Shri Shakti Polyweave) over the listed entity, including a related-party loan</w:t>
      </w:r>
    </w:p>
    <w:p>
      <w:pPr>
        <w:pStyle w:val="ListParagraph"/>
        <w:numPr>
          <w:ilvl w:val="0"/>
          <w:numId w:val="1"/>
        </w:numPr>
        <w:spacing w:after="60"/>
      </w:pPr>
      <w:r>
        <w:t xml:space="preserve">The promoter family listed a further related company (Shri Techtex) in 2024, extending the same pattern of parallel private entities</w:t>
      </w:r>
    </w:p>
    <w:p>
      <w:pPr>
        <w:pStyle w:val="ListParagraph"/>
        <w:numPr>
          <w:ilvl w:val="0"/>
          <w:numId w:val="1"/>
        </w:numPr>
        <w:spacing w:after="60"/>
      </w:pPr>
      <w:r>
        <w:t xml:space="preserve">The community thread is stale (no posts since Jan 2024) -- no independent, current diligence exists to weigh against the strong quarter or the recent price spike</w:t>
      </w:r>
    </w:p>
    <w:p>
      <w:pPr>
        <w:pStyle w:val="Heading1"/>
        <w:spacing w:after="120" w:before="280"/>
      </w:pPr>
      <w:r>
        <w:t xml:space="preserve">Market-Cap Tier (informational — not a gate in this project)</w:t>
      </w:r>
    </w:p>
    <w:p>
      <w:pPr>
        <w:spacing w:after="120"/>
      </w:pPr>
      <w:r>
        <w:rPr>
          <w:b/>
          <w:bCs/>
        </w:rPr>
        <w:t xml:space="preserve">Small-cap (~Rs 520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A genuinely strong quarter and cheap multiple are undermined by a documented ratings-agency red flag and years of unresolved promoter-integrity questions</w:t>
      </w:r>
    </w:p>
    <w:p>
      <w:pPr>
        <w:pStyle w:val="ListParagraph"/>
        <w:numPr>
          <w:ilvl w:val="0"/>
          <w:numId w:val="1"/>
        </w:numPr>
        <w:spacing w:after="60"/>
      </w:pPr>
      <w:r>
        <w:t xml:space="preserve">Q1 FY27's profit and sales growth fit the recent-quarter-inflection pattern cleanly, and the stock is cheap on a trailing P/E basis</w:t>
      </w:r>
    </w:p>
    <w:p>
      <w:pPr>
        <w:pStyle w:val="ListParagraph"/>
        <w:numPr>
          <w:ilvl w:val="0"/>
          <w:numId w:val="1"/>
        </w:numPr>
        <w:spacing w:after="60"/>
      </w:pPr>
      <w:r>
        <w:t xml:space="preserve">But a CARE 'issuer non-cooperating' rating (2023) is a real, documented governance red flag, not a vague community suspicion, and it compounds a multi-year pattern of promoter-integrity concerns (private-company favoritism, related-party loans, a second related listed entity in 2024)</w:t>
      </w:r>
    </w:p>
    <w:p>
      <w:pPr>
        <w:pStyle w:val="ListParagraph"/>
        <w:numPr>
          <w:ilvl w:val="0"/>
          <w:numId w:val="1"/>
        </w:numPr>
        <w:spacing w:after="60"/>
      </w:pPr>
      <w:r>
        <w:t xml:space="preserve">With the community thread stale since early 2024, there is no current corroboration that these concerns have been resolved, so the strong quarter alone is not enough to overcome the governance caution</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2026-08-23T07:04:30.376Z</dcterms:created>
  <dcterms:modified xsi:type="dcterms:W3CDTF">2026-08-23T07:04:30.377Z</dcterms:modified>
</cp:coreProperties>
</file>

<file path=docProps/custom.xml><?xml version="1.0" encoding="utf-8"?>
<Properties xmlns="http://schemas.openxmlformats.org/officeDocument/2006/custom-properties" xmlns:vt="http://schemas.openxmlformats.org/officeDocument/2006/docPropsVTypes"/>
</file>