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Asset Management 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Sub-scale AMC (AUM ~Rs 900 Cr) trying to wake up under a re-energised Shriram group + new partner Sanlam — big operating-leverage optionality, but negative 3-yr ROE, AUM flat for months, and a trusted bear case that the ~Rs 470 Cr price already assumes a multi-year AUM inflection that hasn't come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Asset manager for Shriram Mutual Fund. Historically near-dormant (single-digit employee count into 2022); since FY24 rebuilding — hiring investment and distribution teams, adding a quant overlay, launching NFOs, a PMS (~Rs 100 Cr) and (via an unlisted group entity) a wealth-management arm. South Africa's Sanlam has taken a ~23% stake; Shriram Finance now has a mutual-fund distribution ARN.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470 Cr (52w ~Rs 251 - 519); ~3.4x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Mutual-fund AUM</w:t>
            </w:r>
          </w:p>
        </w:tc>
        <w:tc>
          <w:tcPr>
            <w:tcW w:type="dxa" w:w="5800"/>
          </w:tcPr>
          <w:p>
            <w:r>
              <w:t xml:space="preserve">~Rs 900 Cr (from ~Rs 253 Cr Oct-23 to ~Rs 1,027 Cr Dec-24, then broadly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PMS AUM</w:t>
            </w:r>
          </w:p>
        </w:tc>
        <w:tc>
          <w:tcPr>
            <w:tcW w:type="dxa" w:w="5800"/>
          </w:tcPr>
          <w:p>
            <w:r>
              <w:t xml:space="preserve">~Rs 100 Cr (0 -&gt; 100 in ~1.5 yrs)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12 Cr; loss-making (upfront build-out costs)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 -17%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5800"/>
          </w:tcPr>
          <w:p>
            <w:r>
              <w:t xml:space="preserve">Promoter (Shriram Credit) + Sanlam Emerging Markets (~23%, ~30% dilution to bring them in); Mission1 also on the cap 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SIPs / investors</w:t>
            </w:r>
          </w:p>
        </w:tc>
        <w:tc>
          <w:tcPr>
            <w:tcW w:type="dxa" w:w="5800"/>
          </w:tcPr>
          <w:p>
            <w:r>
              <w:t xml:space="preserve">SIPs +350% YoY, unique investors +147% YoY, distributors +124% YoY (FY25) — off a tiny base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bull case is operating leverage on a scale business with fixed costs sunk: if AUM inflects, economics swing fast. Group intent looks real — Sanlam partnership, Shriram Finance distribution ARN, wealth-management build. But AUM is still only ~Rs 900 Cr and has been broadly flat for 6-9 months; there is no established fund-alpha track record or MF brand recall; 3-year ROE is ~-17%; and the stock at ~3.4x book / ~Rs 470 Cr already implies (per an elevated user's peer-based math) equity AUM of Rs 4,000-5,000 Cr within 3-5 years — a level current run-rate does not support. The main forum proponent (not a trusted user) has cut his position from ~15% to ~5% citing 'no immediate triggers, flat AUM'.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capital-markets financialisation (AMCs / MF)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 asset manager for Shriram Mutual Fund; early rebuild phase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distribution reach + a fund-performance track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HDFC AMC, Nippon Life India AMC, UTI AMC, Aditya Birla Sun Life AMC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Industry economics are excellent at scale but banca/distribution-led incumbents dominate; new entrants (Helios, Zerodha, Jio BlackRock) keep arriving, so being small and late is a real disadvantage despite the group brand.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retail bull drove the thread for two years and has now trimmed to ~5% ('structural story intact, but not immediate'). Elevated user DeepVal posted the standing bear case: a 20-year-old business, not a startup; ~Rs 500 Cr already prices a big AUM inflection; brand argument weak; low barriers (Rs ~50 Cr net worth to start an AMC).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buy call. The only elevated-user contribution is DeepVal's bear case (Nov 2024, well-received). Discovery candidate, theme-rank 1 (priority-2 theme 'capital-markets financialisation', keyword 'AMC').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2024-11-04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Bear case: 20-year-old business not a startup; ~Rs 500 Cr already prices a big AUM inflection; Shriram brand weak in MF; low entry barriers.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Operating-leverage optionality: tiny AUM base, fixed costs largely sunk, financialisation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backers now on board (Sanlam ~USD 10bn AM; Shriram group) + group distribution being wired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SIP / investor / distributor counts growing fast off a small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 still ~Rs 900 Cr and flat for 6-9 months; no fund-alpha track record or MF brand recall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ROE ~-17%; loss-making; low entry barriers to the AMC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470 Cr / 3.4x book already prices a Rs 4,000-5,000 Cr equity-AUM outcome (elevated-user math)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forum proponent has cut position to ~5%; no trusted buy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470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(financialisation); tam yes (tiny AUM base, operating leverage if it scales); moat no (no distribution / brand / alpha, low entry barriers); valuation no (~3.4x book already prices a Rs 4-5k Cr AUM outcome). Score 2.0, no exception (AUM flat 6-9 months)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Sub-scale AMC with real operating-leverage optionality but a stalled AUM and a valuation already pricing an inflection that hasn't arrived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1 (priority-2 theme 'capital-markets financialisation', keyword 'AMC').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 — financialisation is a real multi-year driver; tam yes — ~Rs 900 Cr AUM base is tiny, big operating leverage if it scales; moat no — no distribution, brand recall or alpha track record, low entry barriers; valuation no — ~3.4x book / ~Rs 470 Cr already implies Rs 4-5k Cr equity AUM in 3-5 yrs). Score 2.0; the only exception that could apply is 'un-ignorable growth' but AUM has been flat for 6-9 months, so it does not apply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3-yr ROE here is startup-scale-up drag, not a promoter-holding-collapse / auditor-exit event -&gt; not HIGH CAUTION; the Sanlam-related ~30% dilution is disclosed and strategic.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stalled AUM, no trusted buy call, standing trusted bear case (DeepVal), and the main proponent has cut to ~5%. Revisit only if quarterly AUM clearly re-accelerates.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2026-09-04T03:01:06.069Z</dcterms:created>
  <dcterms:modified xsi:type="dcterms:W3CDTF">2026-09-04T03:01:06.070Z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