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Sigachi Industries Ltd</w:t>
      </w:r>
    </w:p>
    <w:p>
      <w:pPr>
        <w:pBdr>
          <w:bottom w:val="single" w:color="CCCCCC" w:sz="6" w:space="8"/>
        </w:pBdr>
        <w:spacing w:after="200"/>
      </w:pPr>
      <w:r>
        <w:rPr>
          <w:i/>
          <w:iCs/>
          <w:color w:val="666666"/>
          <w:sz w:val="22"/>
          <w:szCs w:val="22"/>
        </w:rPr>
        <w:t xml:space="preserve">Growing pharma-excipient (MCC) manufacturer with real recent-quarter pricing momentum — but a fatal 2025 factory accident with 40+ deaths and an active culpable-homicide complaint is a serious, unresolved overhang</w:t>
      </w:r>
    </w:p>
    <w:p>
      <w:pPr>
        <w:shd w:fill="FFF0F0" w:val="clear"/>
        <w:spacing w:after="200"/>
      </w:pPr>
      <w:r>
        <w:rPr>
          <w:b/>
          <w:bCs/>
          <w:color w:val="B8860B"/>
          <w:sz w:val="22"/>
          <w:szCs w:val="22"/>
        </w:rPr>
        <w:t xml:space="preserve">RED FLAG TIER: HIGH CAUTION — </w:t>
      </w:r>
      <w:r>
        <w:rPr>
          <w:sz w:val="20"/>
          <w:szCs w:val="20"/>
        </w:rPr>
        <w:t xml:space="preserve">A fatal industrial accident at a Sigachi manufacturing facility on 2025-06-30 killed over 40 people; a victim's family has filed a culpable-homicide complaint alleging the company ignored repeated warnings about unsafe, outdated machinery. This is a severe, unresolved legal/regulatory/reputational overhang, compounded by a 2023 auditor-independence controversy.</w:t>
      </w:r>
    </w:p>
    <w:p>
      <w:pPr>
        <w:pStyle w:val="Heading1"/>
        <w:spacing w:after="120" w:before="280"/>
      </w:pPr>
      <w:r>
        <w:t xml:space="preserve">Business Overview</w:t>
      </w:r>
    </w:p>
    <w:p>
      <w:pPr>
        <w:spacing w:after="120"/>
      </w:pPr>
      <w:r>
        <w:t xml:space="preserve">Sigachi manufactures microcrystalline cellulose (MCC), a pharmaceutical/nutraceutical excipient and tablet binder, alongside expanding into API/specialty chemicals and advanced drug-delivery via new greenfield facilities and international partnerships.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1,148 Cr</w:t>
            </w:r>
          </w:p>
        </w:tc>
      </w:tr>
      <w:tr>
        <w:tc>
          <w:tcPr>
            <w:tcW w:type="dxa" w:w="3200"/>
            <w:shd w:fill="F2F2F2" w:val="clear"/>
          </w:tcPr>
          <w:p>
            <w:r>
              <w:rPr>
                <w:b/>
                <w:bCs/>
              </w:rPr>
              <w:t xml:space="preserve">ROCE/ROE</w:t>
            </w:r>
          </w:p>
        </w:tc>
        <w:tc>
          <w:tcPr>
            <w:tcW w:type="dxa" w:w="5800"/>
          </w:tcPr>
          <w:p>
            <w:r>
              <w:t xml:space="preserve">Conflicting figures across sources: 37.8%/38.1% per one screener read, 13.15%/11.2-14.4% per another — needs independent reconciliation</w:t>
            </w:r>
          </w:p>
        </w:tc>
      </w:tr>
      <w:tr>
        <w:tc>
          <w:tcPr>
            <w:tcW w:type="dxa" w:w="3200"/>
            <w:shd w:fill="F2F2F2" w:val="clear"/>
          </w:tcPr>
          <w:p>
            <w:r>
              <w:rPr>
                <w:b/>
                <w:bCs/>
              </w:rPr>
              <w:t xml:space="preserve">Revenue growth</w:t>
            </w:r>
          </w:p>
        </w:tc>
        <w:tc>
          <w:tcPr>
            <w:tcW w:type="dxa" w:w="5800"/>
          </w:tcPr>
          <w:p>
            <w:r>
              <w:t xml:space="preserve">24.05% CAGR vs industry median 5.35%</w:t>
            </w:r>
          </w:p>
        </w:tc>
      </w:tr>
      <w:tr>
        <w:tc>
          <w:tcPr>
            <w:tcW w:type="dxa" w:w="3200"/>
            <w:shd w:fill="F2F2F2" w:val="clear"/>
          </w:tcPr>
          <w:p>
            <w:r>
              <w:rPr>
                <w:b/>
                <w:bCs/>
              </w:rPr>
              <w:t xml:space="preserve">52-week range</w:t>
            </w:r>
          </w:p>
        </w:tc>
        <w:tc>
          <w:tcPr>
            <w:tcW w:type="dxa" w:w="5800"/>
          </w:tcPr>
          <w:p>
            <w:r>
              <w:t xml:space="preserve">Rs 16.74 - 46.70</w:t>
            </w:r>
          </w:p>
        </w:tc>
      </w:tr>
      <w:tr>
        <w:tc>
          <w:tcPr>
            <w:tcW w:type="dxa" w:w="3200"/>
            <w:shd w:fill="F2F2F2" w:val="clear"/>
          </w:tcPr>
          <w:p>
            <w:r>
              <w:rPr>
                <w:b/>
                <w:bCs/>
              </w:rPr>
              <w:t xml:space="preserve">Working capital</w:t>
            </w:r>
          </w:p>
        </w:tc>
        <w:tc>
          <w:tcPr>
            <w:tcW w:type="dxa" w:w="5800"/>
          </w:tcPr>
          <w:p>
            <w:r>
              <w:t xml:space="preserve">High debtor days (171 days) flagged by screener</w:t>
            </w:r>
          </w:p>
        </w:tc>
      </w:tr>
    </w:tbl>
    <w:p>
      <w:pPr>
        <w:spacing w:after="100"/>
      </w:pPr>
    </w:p>
    <w:p>
      <w:pPr>
        <w:spacing w:after="120"/>
      </w:pPr>
      <w:r>
        <w:t xml:space="preserve">Real, above-industry revenue growth in a growing excipient market, with a genuine recent-quarter pricing inflection (MCC realization moved from Rs 216/kg in Q4 FY26 to Rs 241/kg in Q1 FY27, an 11.6% sequential jump attributed by management to structural industry consolidation, per a trusted user's Aug 2026 post). However, ROCE/ROE figures conflict sharply across sources and need independent reconciliation before relying on them.</w:t>
      </w:r>
    </w:p>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the most recent 50 of 86 posts (2023-2026, single batch — escalation was not pursued further because the dominant finding, the fatal 2025 accident, is best assessed from the posts already read rather than by reading deeper history that predates it). This period spans a genuine corporate-governance controversy (2023) and a subsequent major safety catastrophe (2025) that fundamentally changes the risk profile of this name.</w:t>
      </w:r>
    </w:p>
    <w:p>
      <w:pPr>
        <w:spacing w:after="120"/>
      </w:pPr>
      <w:r>
        <w:rPr>
          <w:b/>
          <w:bCs/>
          <w:sz w:val="20"/>
          <w:szCs w:val="20"/>
        </w:rPr>
        <w:t xml:space="preserve">High-conviction call from a top contributor: </w:t>
      </w:r>
      <w:r>
        <w:rPr>
          <w:sz w:val="20"/>
          <w:szCs w:val="20"/>
        </w:rPr>
        <w:t xml:space="preserve">A serious, material event: on 2025-06-30, a plant explosion/fire killed over 40 people (per vx294 and imurlovish, non-trusted but well-received posts), with one victim's family filing a culpable-homicide complaint alleging the company ignored repeated warnings about unsafe, outdated machinery. Operations were estimated to be impacted for ~90 days. Separately, in 2023 the company's auditor resigned amid investor suspicion of an auditor-promoter relationship (flagged by Rafi_Syed, trusted, and Phenil, non-trusted), alongside a discounted preferential share issue and promoter share-selling that drew community questions (Mohit_Jariwala, trusted, 'Why are Sigachi Promoters selling shares?'). Most recently (Aug 2026), Jadewade (trusted) highlighted the MCC realization price jump as a genuine structural tailwind, and management is guiding an aggressive FY27 revenue target of Rs 650-670 Cr, though a non-trusted poster (Ravi_Hundal) called this guidance 'quite aggressive.'</w:t>
      </w:r>
    </w:p>
    <w:p>
      <w:pPr>
        <w:pStyle w:val="Heading1"/>
        <w:spacing w:after="120" w:before="280"/>
      </w:pPr>
      <w:r>
        <w:t xml:space="preserve">BSE Corporate Actions / Other Red Flags</w:t>
      </w:r>
    </w:p>
    <w:p>
      <w:pPr>
        <w:spacing w:after="120"/>
      </w:pPr>
      <w:r>
        <w:t xml:space="preserve">2023: auditor resignation amid investor concern over independence; 2025-06-30: fatal industrial accident (40+ deaths) at a manufacturing facility with an active culpable-homicide complaint against the company.</w:t>
      </w:r>
    </w:p>
    <w:p>
      <w:pPr>
        <w:pStyle w:val="Heading1"/>
        <w:spacing w:after="120" w:before="280"/>
      </w:pPr>
      <w:r>
        <w:t xml:space="preserve">Bull Case</w:t>
      </w:r>
    </w:p>
    <w:p>
      <w:pPr>
        <w:pStyle w:val="ListParagraph"/>
        <w:numPr>
          <w:ilvl w:val="0"/>
          <w:numId w:val="1"/>
        </w:numPr>
        <w:spacing w:after="60"/>
      </w:pPr>
      <w:r>
        <w:t xml:space="preserve">Above-industry revenue growth (24% CAGR vs 5.35% industry median) in a structurally growing pharma-excipient market</w:t>
      </w:r>
    </w:p>
    <w:p>
      <w:pPr>
        <w:pStyle w:val="ListParagraph"/>
        <w:numPr>
          <w:ilvl w:val="0"/>
          <w:numId w:val="1"/>
        </w:numPr>
        <w:spacing w:after="60"/>
      </w:pPr>
      <w:r>
        <w:t xml:space="preserve">Genuine recent-quarter pricing inflection: MCC realization up 11.6% sequentially (Q4 FY26 to Q1 FY27), attributed to real industry consolidation by management</w:t>
      </w:r>
    </w:p>
    <w:p>
      <w:pPr>
        <w:pStyle w:val="ListParagraph"/>
        <w:numPr>
          <w:ilvl w:val="0"/>
          <w:numId w:val="1"/>
        </w:numPr>
        <w:spacing w:after="60"/>
      </w:pPr>
      <w:r>
        <w:t xml:space="preserve">Aggressive FY27 revenue guidance (Rs 650-670 Cr) if achieved would represent real scale growth</w:t>
      </w:r>
    </w:p>
    <w:p>
      <w:pPr>
        <w:pStyle w:val="Heading1"/>
        <w:spacing w:after="120" w:before="280"/>
      </w:pPr>
      <w:r>
        <w:t xml:space="preserve">Bear Case / Key Risks</w:t>
      </w:r>
    </w:p>
    <w:p>
      <w:pPr>
        <w:pStyle w:val="ListParagraph"/>
        <w:numPr>
          <w:ilvl w:val="0"/>
          <w:numId w:val="1"/>
        </w:numPr>
        <w:spacing w:after="60"/>
      </w:pPr>
      <w:r>
        <w:t xml:space="preserve">A fatal industrial accident in June 2025 killed over 40 people, with a culpable-homicide complaint alleging the company ignored repeated safety warnings about outdated machinery — a severe, unresolved legal, regulatory, and reputational overhang that dominates the near-term risk picture regardless of underlying business quality</w:t>
      </w:r>
    </w:p>
    <w:p>
      <w:pPr>
        <w:pStyle w:val="ListParagraph"/>
        <w:numPr>
          <w:ilvl w:val="0"/>
          <w:numId w:val="1"/>
        </w:numPr>
        <w:spacing w:after="60"/>
      </w:pPr>
      <w:r>
        <w:t xml:space="preserve">2023 auditor resignation amid investor suspicion of an auditor-promoter relationship, alongside a discounted preferential issue and promoter share sales — a real governance-quality question predating the accident</w:t>
      </w:r>
    </w:p>
    <w:p>
      <w:pPr>
        <w:pStyle w:val="ListParagraph"/>
        <w:numPr>
          <w:ilvl w:val="0"/>
          <w:numId w:val="1"/>
        </w:numPr>
        <w:spacing w:after="60"/>
      </w:pPr>
      <w:r>
        <w:t xml:space="preserve">ROCE/ROE figures conflict sharply across sources (37.8%/38.1% vs 13.15%/11.2-14.4%), making the quality-gate assessment itself uncertain until independently reconciled</w:t>
      </w:r>
    </w:p>
    <w:p>
      <w:pPr>
        <w:pStyle w:val="ListParagraph"/>
        <w:numPr>
          <w:ilvl w:val="0"/>
          <w:numId w:val="1"/>
        </w:numPr>
        <w:spacing w:after="60"/>
      </w:pPr>
      <w:r>
        <w:t xml:space="preserve">High debtor days (171) flagged by screener as a working-capital concern</w:t>
      </w:r>
    </w:p>
    <w:p>
      <w:pPr>
        <w:pStyle w:val="Heading1"/>
        <w:spacing w:after="120" w:before="280"/>
      </w:pPr>
      <w:r>
        <w:t xml:space="preserve">Market-Cap Tier (informational — not a gate in this project)</w:t>
      </w:r>
    </w:p>
    <w:p>
      <w:pPr>
        <w:spacing w:after="120"/>
      </w:pPr>
      <w:r>
        <w:rPr>
          <w:b/>
          <w:bCs/>
        </w:rPr>
        <w:t xml:space="preserve">Small-cap (~Rs 1,148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fatal 2025 factory accident with an active homicide complaint is a severe, unresolved overhang that overrides the otherwise-real growth story</w:t>
      </w:r>
    </w:p>
    <w:p>
      <w:pPr>
        <w:pStyle w:val="ListParagraph"/>
        <w:numPr>
          <w:ilvl w:val="0"/>
          <w:numId w:val="1"/>
        </w:numPr>
        <w:spacing w:after="60"/>
      </w:pPr>
      <w:r>
        <w:t xml:space="preserve">The recent MCC pricing inflection and above-industry growth are real, but a mass-casualty industrial accident with an ongoing culpable-homicide complaint represents legal, regulatory, and reputational risk severe enough to dominate the thesis regardless of the underlying business trajectory</w:t>
      </w:r>
    </w:p>
    <w:p>
      <w:pPr>
        <w:pStyle w:val="ListParagraph"/>
        <w:numPr>
          <w:ilvl w:val="0"/>
          <w:numId w:val="1"/>
        </w:numPr>
        <w:spacing w:after="60"/>
      </w:pPr>
      <w:r>
        <w:t xml:space="preserve">Combined with a 2023 auditor-independence controversy and conflicting ROCE/ROE data across sources, conviction stays low until both the accident's legal resolution and the fundamentals discrepancy are clarified</w:t>
      </w:r>
    </w:p>
    <w:p>
      <w:pPr>
        <w:pStyle w:val="ListParagraph"/>
        <w:numPr>
          <w:ilvl w:val="0"/>
          <w:numId w:val="1"/>
        </w:numPr>
        <w:spacing w:after="60"/>
      </w:pPr>
      <w:r>
        <w:t xml:space="preserve">This is exactly the kind of red flag this project's framework exists to catch, even though it doesn't fit the AVOID/EXCLUDE literal definitions (no going-concern issue, no SEBI action found) — it's flagged HIGH CAUTION on severity grounds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2026-08-24T12:50:09.348Z</dcterms:created>
  <dcterms:modified xsi:type="dcterms:W3CDTF">2026-08-24T12:50:09.348Z</dcterms:modified>
</cp:coreProperties>
</file>

<file path=docProps/custom.xml><?xml version="1.0" encoding="utf-8"?>
<Properties xmlns="http://schemas.openxmlformats.org/officeDocument/2006/custom-properties" xmlns:vt="http://schemas.openxmlformats.org/officeDocument/2006/docPropsVTypes"/>
</file>