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Surya Roshni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 steel-pipe and lighting major — a rough FY26 followed by a sharp Q1 FY27 turnaround, tracked closely by a trusted community voice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Surya Roshni is India's largest exporter of ERW pipes, largest producer of ERW GI pipes, and among the top consumer lighting brands (Surya, Prakash Surya). It operates two segments: Steel Pipes &amp; Strips (API/galvanised/spiral pipes for oil &amp; gas, water infrastructure) and Lighting &amp; Consumer Durables (LED lighting, fans, water heaters, and a new water-pump line launched 2024).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5,377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14.06% / 18.98% (weak — 3-yr avg ROE 13.9%)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revenue growth</w:t>
            </w:r>
          </w:p>
        </w:tc>
        <w:tc>
          <w:tcPr>
            <w:tcW w:type="dxa" w:w="5800"/>
          </w:tcPr>
          <w:p>
            <w:r>
              <w:t xml:space="preserve">6.28% (weak)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results</w:t>
            </w:r>
          </w:p>
        </w:tc>
        <w:tc>
          <w:tcPr>
            <w:tcW w:type="dxa" w:w="5800"/>
          </w:tcPr>
          <w:p>
            <w:r>
              <w:t xml:space="preserve">Revenue +28% YoY, PAT +113%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Debt-free, net cash surplus ~Rs 337 Cr as of Mar 2026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187.35 - 326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trailing 5-year picture is weak (6.28% revenue growth, 13.9% 3-yr average ROE) and FY26 itself was a genuinely poor year (PAT -28% YoY, hurt by slower government project execution, early monsoons, and falling steel prices). But Q1 FY27 (reported Aug 2026) shows a sharp turnaround: revenue +28% YoY to Rs 2,046 Cr, PAT +113% YoY to Rs 60 Cr, with steel-pipe volumes up 21% YoY and EBITDA/MT up 37%. The company is debt-free with a net cash surplus and is expanding capacity from 14 to 20 lakh tonnes by FY28-29.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pass; 52-week range Rs 187-326, well off its 2021 all-time high of Rs 868.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Long-running thread (since 2022) with ranvir posting nearly every quarterly result. Tone tracks the business cycle closely: bullish through 2022-2024 on debt reduction and margin improvement, turning cautious through FY25-FY26 as revenue and margins declined (one poster flagged a specific SAP-implementation issue that hurt Q1 FY26 execution), then turning positive again with the Q1 FY27 beat. A recurring community complaint is management's lack of ambition/communication (a CFO quote about '50 years' to reach distribution scale was debated at length) and the CEO being a sitting MP.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ranvir (trusted user) has personally tracked and posted every quarterly result on this thread for over 3 years, including through the FY26 downturn and the Q1 FY27 recovery — a sustained, close-tracking pattern from a trusted source, though not an explicit top-holding statement in this thread.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 — ranvir</w:t>
      </w:r>
      <w:r>
        <w:rPr>
          <w:i/>
          <w:iCs/>
          <w:color w:val="666666"/>
          <w:sz w:val="18"/>
          <w:szCs w:val="18"/>
        </w:rPr>
        <w:t xml:space="preserve"> (Ranvir's Portfolio)</w:t>
      </w:r>
      <w:r>
        <w:rPr>
          <w:sz w:val="20"/>
          <w:szCs w:val="20"/>
        </w:rPr>
        <w:br/>
        <w:t xml:space="preserve">: "Have also added 2 beaten down names - CG Consumer Electricals and Surya Roshni. I personally feel that mkt is mispricing these companies" (post #1874) — an explicit mispricing/value call. Source of this stock's trusted-thread queueing.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red-flag corporate actions found.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shows a genuine, sharp turnaround (PAT +113% YoY) after a weak FY26 — steel-pipe volumes and EBITDA/MT both recovering strongly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with a net cash surplus, funding capacity expansion (14 to 20 lakh tonnes by FY28-29) without leverage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ranvir, a trusted community voice, explicitly called this and Crompton 'mispriced' by the market as of 2026-08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No.1 ERW GI pipe exporter/producer and No.2 lighting brand in India — established market positions, not a speculative newcomer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5-year trailing growth (6.28%) and 3-year average ROE (13.9%) are genuinely weak — this is a single-quarter turnaround, not yet a confirmed trend, following an outright poor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is commodity/steel-price sensitive — prior quarters show EBITDA margins swinging sharply (4.3% to 9.85%) with steel price and government-project-timing cycles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Recurring community criticism of low management ambition and communication (CFO's '50 years' framing, absence of strong FII/institutional coverage)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Lighting segment margins have faced persistent LED price erosion for years, a structural headwind independent of the steel-pipe cycle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5,377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 (unconfirmed) — small-cap size makes 10x mathematically plausible, and Q1 FY27 shows a real, sharp recent-quarter inflection, but it follows an outright poor FY26 and is only one quarter deep, so this is a LOW/MEDIUM-conviction, not-yet-confirmed call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 Q1 FY27 turnaround after a rough FY26 — ranvir's 'mispriced' call has a plausible fundamental basis but needs another quarter to confirm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this project's methodology-fix rule, a weak trailing average doesn't disqualify a stock when there's a strong, specific recent-quarter improvement — Q1 FY27's 113% PAT growth qualifies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debt-free balance sheet and capacity-expansion plan give the turnaround a credible operational basis rather than pure sentiment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Medium (not higher) because this is one quarter of recovery after a genuinely weak FY26, and the business remains commodity-price sensitive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Flagged for 30-day revisit given no red flag and thesis fit is not 'neither' — the next quarter's result will be the real confirmation test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2026-08-22T13:27:51.459Z</dcterms:created>
  <dcterms:modified xsi:type="dcterms:W3CDTF">2026-08-22T13:27:51.461Z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