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TIL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Speculative turnaround in materials-handling/mining equipment with real operating-leverage optionality but high debt and an early-stage execution track record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TIL manufactures cranes and materials-handling/mining equipment. Came under new management/promoter group (linked to Gainwell, the Caterpillar dealership in India) after a period of severe underperformance driven by working-capital constraints. New management is integrating TIL with Gainwell's aftermarket-heavy business model and Caterpillar-technology mining equipment manufacturing.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1,897-1,901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Q1 FY27 revenue +86% YoY to Rs 78.6 Cr (standalone)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Consolidated PAT</w:t>
            </w:r>
          </w:p>
        </w:tc>
        <w:tc>
          <w:tcPr>
            <w:tcW w:type="dxa" w:w="5800"/>
          </w:tcPr>
          <w:p>
            <w:r>
              <w:t xml:space="preserve">-Rs 5.5 Cr (still loss-making at consolidated level)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3.4x consolidated — high leverage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Debtor days</w:t>
            </w:r>
          </w:p>
        </w:tc>
        <w:tc>
          <w:tcPr>
            <w:tcW w:type="dxa" w:w="5800"/>
          </w:tcPr>
          <w:p>
            <w:r>
              <w:t xml:space="preserve">239 (high, expected to rise further with defense-focused business)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genuine, early-stage turnaround: revenue has surged (+86% YoY standalone) after new management fixed working-capital constraints that had previously prevented order execution despite having technology, plants, and people. But consolidated leverage (3.4x D/E) is high and the company is still consolidated-PAT-negative — this is a real, unresolved-risk turnaround, not a proven one.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thread (46 posts, single batch, focusing on 2025-2026 activity where the actual turnaround narrative lives — earlier 2011-era posts were pre-turnaround and not thesis-relevant). TIL held its first earnings call in ~4 quarters on 2026-08-21 (the day before this analysis), providing the first substantive management color in a long while.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users posted in this thread. lsubs provided the most detailed, recent synthesis (Aug 2026, two posts) covering both a bull case (operating leverage, new patented products, defense re-entry) and an explicit antithesis (high debt, high working capital, management-bandwidth split, timeline risk on new-product commercialization, competitor dominance). Tejash (May 2025) and Manav (Feb 2025) both independently described this as a genuine turnaround story after a year of tracking, citing promoter capital infusion and capex.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TIL approved acquisition of a majority stake in Tulip Compression (Feb 2026), part of the new management's broader group-integration strategy (Gainwell Commosales/Gainwell Engineering synergies).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operating leverage: Kharagpur facility operates at only 30-35% capacity with ~150 acres available — standalone business could triple revenue to Rs 700-750 Cr with only Rs 5-10 Cr of bridging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patented product (CarryKing 515/520) targets a 14,000-units/year addressable market per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synergy path with Gainwell's Caterpillar-dealership aftermarket business model (currently ~50% of Gainwell's revenue is recurring aftermarket, a mindset TIL is explicitly trying to adopt) plus a dedicated Executive Director/CEO brought over from Gainwell specifically for this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Defense indigenization re-entry opportunity flagged by both management and community synthesis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 earnings call in ~4 quarters (Aug 2026) signals renewed management engagement and disclosure after a long information gap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consolidated leverage (3.4x D/E) and consolidated PAT still negative (-Rs 5.5 Cr) — this is not yet a demonstrated, profitable turnaround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Promoter/management bandwidth explicitly split — management stated they're not yet devoting the intended 50-60% of time to TIL, only committing to increase it 'from the next quarter'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CarryKing new-product commercialization has already slipped once, now targeted for Q1 FY28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and rising working capital/debtor days (239, expected to increase further) as the business skews toward defense customers with long clearance cycles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Competitor ACE remains dominant in the core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itself flagged that margin harmonization will take another 6-8 quarters due to product lumpiness — a multi-year, not multi-quarter, story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1,897-1,901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Genuine, specific turnaround optionality — but still early, leveraged, and unprofitable at the consolidated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operating-leverage math (tripling revenue on minimal capex) and Gainwell-synergy/defense-indigenization catalysts are specific and real, not vague narrative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high consolidated debt, negative consolidated PAT, split management bandwidth, and an already-slipped product-commercialization timeline mean this remains a speculative, early-stage turnaround rather than a demonstrated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Worth close tracking given the freshly-resumed earnings call and detailed management color, but not yet a high-conviction call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2026-08-22T03:51:38.334Z</dcterms:created>
  <dcterms:modified xsi:type="dcterms:W3CDTF">2026-08-22T03:51:38.343Z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