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Tata Power Company Ltd</w:t>
      </w:r>
    </w:p>
    <w:p>
      <w:pPr>
        <w:pBdr>
          <w:bottom w:val="single" w:color="CCCCCC" w:sz="6" w:space="8"/>
        </w:pBdr>
        <w:spacing w:after="200"/>
      </w:pPr>
      <w:r>
        <w:rPr>
          <w:i/>
          <w:iCs/>
          <w:color w:val="666666"/>
          <w:sz w:val="22"/>
          <w:szCs w:val="22"/>
        </w:rPr>
        <w:t xml:space="preserve">Mega-cap (~Rs 1.17 lakh Cr) integrated utility executing a large renewables/T&amp;D/rooftop/EV-charging capex programme to ~FY30 - a credible 13-17% compounding story, but structurally incapable of 10x in 2-3 years and carrying a ~Rs 5,500 Cr arbitration overhang</w:t>
      </w:r>
    </w:p>
    <w:p>
      <w:pPr>
        <w:pStyle w:val="Heading1"/>
        <w:spacing w:after="120" w:before="280"/>
      </w:pPr>
      <w:r>
        <w:t xml:space="preserve">Business Overview</w:t>
      </w:r>
    </w:p>
    <w:p>
      <w:pPr>
        <w:spacing w:after="120"/>
      </w:pPr>
      <w:r>
        <w:t xml:space="preserve">Tata Power is India's largest integrated private power utility: generation (thermal, hydro, renewables), coal mining stakes, transmission and distribution (targeting 40 mn customers by FY30), solar EPC + rooftop (13% share), cell/module manufacturing (4.3 GW plant ramping), pumped-hydro/BESS storage, and EV charging (targeting 400,000 points by 2027). Guiding ~15-17% operating-income CAGR and Rs 25,000 Cr/year capex to FY30.</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1,16,800 Cr (mega-cap)</w:t>
            </w:r>
          </w:p>
        </w:tc>
      </w:tr>
      <w:tr>
        <w:tc>
          <w:tcPr>
            <w:tcW w:type="dxa" w:w="3200"/>
            <w:shd w:fill="F2F2F2" w:val="clear"/>
          </w:tcPr>
          <w:p>
            <w:r>
              <w:rPr>
                <w:b/>
                <w:bCs/>
              </w:rPr>
              <w:t xml:space="preserve">ROCE / ROE</w:t>
            </w:r>
          </w:p>
        </w:tc>
        <w:tc>
          <w:tcPr>
            <w:tcW w:type="dxa" w:w="5800"/>
          </w:tcPr>
          <w:p>
            <w:r>
              <w:t xml:space="preserve">ROE ~11%; ROIC ~4-5%</w:t>
            </w:r>
          </w:p>
        </w:tc>
      </w:tr>
      <w:tr>
        <w:tc>
          <w:tcPr>
            <w:tcW w:type="dxa" w:w="3200"/>
            <w:shd w:fill="F2F2F2" w:val="clear"/>
          </w:tcPr>
          <w:p>
            <w:r>
              <w:rPr>
                <w:b/>
                <w:bCs/>
              </w:rPr>
              <w:t xml:space="preserve">Revenue growth</w:t>
            </w:r>
          </w:p>
        </w:tc>
        <w:tc>
          <w:tcPr>
            <w:tcW w:type="dxa" w:w="5800"/>
          </w:tcPr>
          <w:p>
            <w:r>
              <w:t xml:space="preserve">Revenue CAGR ~13-14% (below utility-sector median); FY26 consensus ~8% revenue, ~13% earnings growth</w:t>
            </w:r>
          </w:p>
        </w:tc>
      </w:tr>
      <w:tr>
        <w:tc>
          <w:tcPr>
            <w:tcW w:type="dxa" w:w="3200"/>
            <w:shd w:fill="F2F2F2" w:val="clear"/>
          </w:tcPr>
          <w:p>
            <w:r>
              <w:rPr>
                <w:b/>
                <w:bCs/>
              </w:rPr>
              <w:t xml:space="preserve">Margins</w:t>
            </w:r>
          </w:p>
        </w:tc>
        <w:tc>
          <w:tcPr>
            <w:tcW w:type="dxa" w:w="5800"/>
          </w:tcPr>
          <w:p>
            <w:r>
              <w:t xml:space="preserve">Regulated-utility margins; Q4 FY25 EBITDA +14% YoY to Rs 3,829 Cr</w:t>
            </w:r>
          </w:p>
        </w:tc>
      </w:tr>
      <w:tr>
        <w:tc>
          <w:tcPr>
            <w:tcW w:type="dxa" w:w="3200"/>
            <w:shd w:fill="F2F2F2" w:val="clear"/>
          </w:tcPr>
          <w:p>
            <w:r>
              <w:rPr>
                <w:b/>
                <w:bCs/>
              </w:rPr>
              <w:t xml:space="preserve">Cash flow / debt</w:t>
            </w:r>
          </w:p>
        </w:tc>
        <w:tc>
          <w:tcPr>
            <w:tcW w:type="dxa" w:w="5800"/>
          </w:tcPr>
          <w:p>
            <w:r>
              <w:t xml:space="preserve">D/E ~1.6; large gross debt funding the capex cycle; ~USD 1 bn overseas asset monetisation planned</w:t>
            </w:r>
          </w:p>
        </w:tc>
      </w:tr>
      <w:tr>
        <w:tc>
          <w:tcPr>
            <w:tcW w:type="dxa" w:w="3200"/>
            <w:shd w:fill="F2F2F2" w:val="clear"/>
          </w:tcPr>
          <w:p>
            <w:r>
              <w:rPr>
                <w:b/>
                <w:bCs/>
              </w:rPr>
              <w:t xml:space="preserve">Valuation</w:t>
            </w:r>
          </w:p>
        </w:tc>
        <w:tc>
          <w:tcPr>
            <w:tcW w:type="dxa" w:w="5800"/>
          </w:tcPr>
          <w:p>
            <w:r>
              <w:t xml:space="preserve">Stock roughly flat over the past 52 weeks; premium utility multiple already</w:t>
            </w:r>
          </w:p>
        </w:tc>
      </w:tr>
    </w:tbl>
    <w:p>
      <w:pPr>
        <w:spacing w:after="100"/>
      </w:pPr>
    </w:p>
    <w:p>
      <w:pPr>
        <w:spacing w:after="120"/>
      </w:pPr>
      <w:r>
        <w:t xml:space="preserve">A genuine, well-articulated multi-year growth plan (renewables EBITDA share rising from ~27% to ~51% by FY30, RE capacity 6.7 GW to 23 GW, cell-module plant now feeding higher-margin DCR/rooftop demand), but from a ~Rs 1.17 lakh Cr base with ~11% ROE and 1.6x leverage. Near-term earnings inflection depends on the module plant ramp and Mundra losses staying contained via Section 11. A Singapore arbitration award (Kleros, ~USD 500 mn / ~Rs 5,500 Cr with interest - more than FY25 net profit) is an unresolved contingent liability that the market has curiously not priced.</w:t>
      </w:r>
    </w:p>
    <w:p>
      <w:pPr>
        <w:pStyle w:val="Heading1"/>
        <w:spacing w:after="120" w:before="280"/>
      </w:pPr>
      <w:r>
        <w:t xml:space="preserve">Technical Read (Weekly / Monthly MACD + Bollinger Bands, or RSI/CCI/Williams %R proxy)</w:t>
      </w:r>
    </w:p>
    <w:p>
      <w:pPr>
        <w:spacing w:after="120"/>
      </w:pPr>
      <w:r>
        <w:t xml:space="preserve">Not independently pulled. Range-bound / roughly flat over 12 months despite the broader market and 'AI/power' enthusiasm elsewhere.</w:t>
      </w:r>
    </w:p>
    <w:p>
      <w:pPr>
        <w:pStyle w:val="Heading1"/>
        <w:spacing w:after="120" w:before="280"/>
      </w:pPr>
      <w:r>
        <w:t xml:space="preserve">ValuePickr Community Signal</w:t>
      </w:r>
    </w:p>
    <w:p>
      <w:pPr>
        <w:spacing w:after="120"/>
      </w:pPr>
      <w:r>
        <w:t xml:space="preserve">Read the most recent ~22 of 226 posts (Dec 2024 to Aug 2026). Bulls frame it as 'the next Trent of the Tata group', a 2030 story: Fvs (invested since 2021, large position, explicitly biased) is the most vocal, even using stock futures for leverage. astha.arora23 laid out the earnings-inflection case (module plant + RE commissioning + UP discom privatisation optionality). karanshah137 (elevated) - 'Q3 was ok-ish, but the long-term story is intact', noting the 100%-clean-by-2045 and nuclear-baseload ambition. The clear negative: the Kleros arbitration loss - Prabhat_Mohanty (elevated) 'huge setback... unable to understand' the muted market/management reaction; Sajal_Singh booked ~100% gains and exited over it.</w:t>
      </w:r>
    </w:p>
    <w:p>
      <w:pPr>
        <w:spacing w:after="120"/>
      </w:pPr>
      <w:r>
        <w:rPr>
          <w:b/>
          <w:bCs/>
          <w:sz w:val="20"/>
          <w:szCs w:val="20"/>
        </w:rPr>
        <w:t xml:space="preserve">High-conviction call from a top contributor: </w:t>
      </w:r>
      <w:r>
        <w:rPr>
          <w:sz w:val="20"/>
          <w:szCs w:val="20"/>
        </w:rPr>
        <w:t xml:space="preserve">karanshah137 (elevated) is constructive on the long-term story but lukewarm on near-term results ('ok-ish'); not a high-conviction 2-3 year multi-bagger call. Prabhat_Mohanty (elevated) turned cautious specifically because of the arbitration award. Bull voices are self-described biased long-term holders.</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2025-07-05 — Prabhat_Mohanty</w:t>
      </w:r>
      <w:r>
        <w:rPr>
          <w:i/>
          <w:iCs/>
          <w:color w:val="666666"/>
          <w:sz w:val="18"/>
          <w:szCs w:val="18"/>
        </w:rPr>
        <w:t xml:space="preserve"> (Tata Power Limited)</w:t>
      </w:r>
      <w:r>
        <w:rPr>
          <w:sz w:val="20"/>
          <w:szCs w:val="20"/>
        </w:rPr>
        <w:br/>
        <w:t xml:space="preserve">: On the ~Rs 5,500 Cr Kleros arbitration award: 'huge setback for the company', cannot understand the muted market and management reaction; was considering buying, 'now not so sure'. Cautious trusted view.</w:t>
      </w:r>
    </w:p>
    <w:p>
      <w:pPr>
        <w:spacing w:after="100"/>
      </w:pPr>
      <w:r>
        <w:rPr>
          <w:b/>
          <w:bCs/>
          <w:sz w:val="20"/>
          <w:szCs w:val="20"/>
        </w:rPr>
        <w:t xml:space="preserve">2026-02-05 — karanshah137</w:t>
      </w:r>
      <w:r>
        <w:rPr>
          <w:i/>
          <w:iCs/>
          <w:color w:val="666666"/>
          <w:sz w:val="18"/>
          <w:szCs w:val="18"/>
        </w:rPr>
        <w:t xml:space="preserve"> (Tata Power Limited)</w:t>
      </w:r>
      <w:r>
        <w:rPr>
          <w:sz w:val="20"/>
          <w:szCs w:val="20"/>
        </w:rPr>
        <w:br/>
        <w:t xml:space="preserve">: 'Q3 was ok-ish, but the long-term story is intact' - clean-power-by-2045 and nuclear-baseload ambition. Constructive on the multi-year story, non-committal on near term. Not a 2-3 year buy call.</w:t>
      </w:r>
    </w:p>
    <w:p>
      <w:pPr>
        <w:pStyle w:val="Heading1"/>
        <w:spacing w:after="120" w:before="280"/>
      </w:pPr>
      <w:r>
        <w:t xml:space="preserve">BSE Corporate Actions / Other Red Flags</w:t>
      </w:r>
    </w:p>
    <w:p>
      <w:pPr>
        <w:spacing w:after="120"/>
      </w:pPr>
      <w:r>
        <w:t xml:space="preserve">Kleros/Singapore arbitration award of ~USD 500 mn (~Rs 5,500 Cr incl. interest) against Tata Power - contingent liability exceeding FY25 PAT; company disclosure was described as 'cryptic', no management clarification. Moody's affirmed Ba1, outlook raised to positive. Section 11 extension for Mundra keeps thermal losses minimal. UP discom privatisation bids submitted (optionality). No SEBI action.</w:t>
      </w:r>
    </w:p>
    <w:p>
      <w:pPr>
        <w:pStyle w:val="Heading1"/>
        <w:spacing w:after="120" w:before="280"/>
      </w:pPr>
      <w:r>
        <w:t xml:space="preserve">Bull Case</w:t>
      </w:r>
    </w:p>
    <w:p>
      <w:pPr>
        <w:pStyle w:val="ListParagraph"/>
        <w:numPr>
          <w:ilvl w:val="0"/>
          <w:numId w:val="1"/>
        </w:numPr>
        <w:spacing w:after="60"/>
      </w:pPr>
      <w:r>
        <w:t xml:space="preserve">Clear, large, funded capex programme to FY30 with rising renewables mix and vertical integration (cell-to-rooftop)</w:t>
      </w:r>
    </w:p>
    <w:p>
      <w:pPr>
        <w:pStyle w:val="ListParagraph"/>
        <w:numPr>
          <w:ilvl w:val="0"/>
          <w:numId w:val="1"/>
        </w:numPr>
        <w:spacing w:after="60"/>
      </w:pPr>
      <w:r>
        <w:t xml:space="preserve">Multiple optionalities: UP discom privatisation, EV charging network, pumped-hydro/BESS, nuclear baseload ambition</w:t>
      </w:r>
    </w:p>
    <w:p>
      <w:pPr>
        <w:pStyle w:val="ListParagraph"/>
        <w:numPr>
          <w:ilvl w:val="0"/>
          <w:numId w:val="1"/>
        </w:numPr>
        <w:spacing w:after="60"/>
      </w:pPr>
      <w:r>
        <w:t xml:space="preserve">Tata brand, lowest cost of debt among RE peers, ~USD 1 bn asset-monetisation lever</w:t>
      </w:r>
    </w:p>
    <w:p>
      <w:pPr>
        <w:pStyle w:val="Heading1"/>
        <w:spacing w:after="120" w:before="280"/>
      </w:pPr>
      <w:r>
        <w:t xml:space="preserve">Bear Case / Key Risks</w:t>
      </w:r>
    </w:p>
    <w:p>
      <w:pPr>
        <w:pStyle w:val="ListParagraph"/>
        <w:numPr>
          <w:ilvl w:val="0"/>
          <w:numId w:val="1"/>
        </w:numPr>
        <w:spacing w:after="60"/>
      </w:pPr>
      <w:r>
        <w:t xml:space="preserve">Mega-cap (~Rs 1.17 lakh Cr) with ~11% ROE and 1.6x D/E - 10x in 2-3 years is arithmetically impossible</w:t>
      </w:r>
    </w:p>
    <w:p>
      <w:pPr>
        <w:pStyle w:val="ListParagraph"/>
        <w:numPr>
          <w:ilvl w:val="0"/>
          <w:numId w:val="1"/>
        </w:numPr>
        <w:spacing w:after="60"/>
      </w:pPr>
      <w:r>
        <w:t xml:space="preserve">~Rs 5,500 Cr arbitration award unresolved and, oddly, un-priced - a real downside risk</w:t>
      </w:r>
    </w:p>
    <w:p>
      <w:pPr>
        <w:pStyle w:val="ListParagraph"/>
        <w:numPr>
          <w:ilvl w:val="0"/>
          <w:numId w:val="1"/>
        </w:numPr>
        <w:spacing w:after="60"/>
      </w:pPr>
      <w:r>
        <w:t xml:space="preserve">Revenue CAGR below the utility-sector median; capital-intensive, regulated returns</w:t>
      </w:r>
    </w:p>
    <w:p>
      <w:pPr>
        <w:pStyle w:val="ListParagraph"/>
        <w:numPr>
          <w:ilvl w:val="0"/>
          <w:numId w:val="1"/>
        </w:numPr>
        <w:spacing w:after="60"/>
      </w:pPr>
      <w:r>
        <w:t xml:space="preserve">Bull thesis is a 2030 story, not a 2-3 year one</w:t>
      </w:r>
    </w:p>
    <w:p>
      <w:pPr>
        <w:pStyle w:val="Heading1"/>
        <w:spacing w:after="120" w:before="280"/>
      </w:pPr>
      <w:r>
        <w:t xml:space="preserve">Market-Cap Tier (informational — not a gate in this project)</w:t>
      </w:r>
    </w:p>
    <w:p>
      <w:pPr>
        <w:spacing w:after="120"/>
      </w:pPr>
      <w:r>
        <w:rPr>
          <w:b/>
          <w:bCs/>
        </w:rPr>
        <w:t xml:space="preserve">Mega-cap (~Rs 1,16,800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A credible long-duration utility compounder, but 'neither' on this project's bar - far too large for 10x in 2-3 years, with an unresolved ~Rs 5,500 Cr arbitration overhang</w:t>
      </w:r>
    </w:p>
    <w:p>
      <w:pPr>
        <w:pStyle w:val="ListParagraph"/>
        <w:numPr>
          <w:ilvl w:val="0"/>
          <w:numId w:val="1"/>
        </w:numPr>
        <w:spacing w:after="60"/>
      </w:pPr>
      <w:r>
        <w:t xml:space="preserve">The growth plan is real but the base (~Rs 1.17 lakh Cr), the ~11% ROE and the 1.6x leverage make a 10x-in-2-3-years or 100x-in-10 outcome not credible</w:t>
      </w:r>
    </w:p>
    <w:p>
      <w:pPr>
        <w:pStyle w:val="ListParagraph"/>
        <w:numPr>
          <w:ilvl w:val="0"/>
          <w:numId w:val="1"/>
        </w:numPr>
        <w:spacing w:after="60"/>
      </w:pPr>
      <w:r>
        <w:t xml:space="preserve">Bull conviction on the forum is from self-described biased long-term holders; the active elevated voice calls recent results 'ok-ish'</w:t>
      </w:r>
    </w:p>
    <w:p>
      <w:pPr>
        <w:pStyle w:val="ListParagraph"/>
        <w:numPr>
          <w:ilvl w:val="0"/>
          <w:numId w:val="1"/>
        </w:numPr>
        <w:spacing w:after="60"/>
      </w:pPr>
      <w:r>
        <w:t xml:space="preserve">The Kleros arbitration award (&gt; FY25 PAT) is an unpriced downside that warrants caution</w:t>
      </w:r>
    </w:p>
    <w:p>
      <w:pPr>
        <w:pStyle w:val="ListParagraph"/>
        <w:numPr>
          <w:ilvl w:val="0"/>
          <w:numId w:val="1"/>
        </w:numPr>
        <w:spacing w:after="60"/>
      </w:pPr>
      <w:r>
        <w:t xml:space="preserve">No red-flag tier; no 30-day revisit</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2026-08-27T09:51:19.140Z</dcterms:created>
  <dcterms:modified xsi:type="dcterms:W3CDTF">2026-08-27T09:51:19.140Z</dcterms:modified>
</cp:coreProperties>
</file>

<file path=docProps/custom.xml><?xml version="1.0" encoding="utf-8"?>
<Properties xmlns="http://schemas.openxmlformats.org/officeDocument/2006/custom-properties" xmlns:vt="http://schemas.openxmlformats.org/officeDocument/2006/docPropsVTypes"/>
</file>