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Tips Industries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Exceptional trailing ROE/ROCE undercut by a management-driven growth-guidance cut, a CEO departure, and an unfavorable IP litigation update — all within the last 6 months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Tips Industries (Tips Music) owns and monetizes a large music-rights catalogue (Bollywood film music, 90s-era hits, and growing original content) across YouTube, streaming platforms, and licensing/publishing deals (including a partnership with Sony Music Publishing for global YouTube monetization outside India). It demerged its film business to focus purely on music.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8,321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83.2%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(10-yr median)</w:t>
            </w:r>
          </w:p>
        </w:tc>
        <w:tc>
          <w:tcPr>
            <w:tcW w:type="dxa" w:w="5800"/>
          </w:tcPr>
          <w:p>
            <w:r>
              <w:t xml:space="preserve">24.7%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5-yr profit CAGR</w:t>
            </w:r>
          </w:p>
        </w:tc>
        <w:tc>
          <w:tcPr>
            <w:tcW w:type="dxa" w:w="5800"/>
          </w:tcPr>
          <w:p>
            <w:r>
              <w:t xml:space="preserve">36.7%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payout</w:t>
            </w:r>
          </w:p>
        </w:tc>
        <w:tc>
          <w:tcPr>
            <w:tcW w:type="dxa" w:w="5800"/>
          </w:tcPr>
          <w:p>
            <w:r>
              <w:t xml:space="preserve">63.6%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481.15 - Rs 718.00 (as of 29-May-2026)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Trailing quality metrics are exceptional (ROE 83.2% 3-yr, ROCE 49%, near-debt-free, strong historical growth and dividend payout). But the trend is decelerating, not accelerating: management explicitly revised growth guidance down from 30% to 20% in the Oct 2025 concall, citing lower new-content acquisition and paywall-related headwinds on YouTube/Spotify monetization. This is the opposite of the pattern this project's methodology looks for at small/mid-caps (a weak trailing average overridden by a strong recent quarter) — here a strong trailing average is being undercut by real recent deceleration.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50 most recent posts (#419-469, spanning Dec 2024 to Jul 2026) of a very active, long-running thread (444+ posts total) with a rich, genuinely two-sided debate on the business's durability — including a well-argued bear case (Researcher, 21-Nov-2025) that the company is over-reliant on 90s-era 'past glory' content with declining new-content output and falling YouTube view counts, versus a counter-case that an aging, low-cost-to-maintain IP catalogue is inherently high-margin regardless of new content.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The originating trusted signal was joinjp2003 (from a separate portfolio thread), who re-entered Tips Industries with detailed deal rationale and later confirmed the re-entry 'proven highly beneficial' — real, repeated conviction language, though a re-entry implies an earlier exit too. Within the company thread itself, three material developments have emerged in the last 6 months that were not part of the original bullish thesis: management cut FY26 growth guidance from 30% to 20% (Oct 2025), CEO Hari Nair announced his departure effective 30-Apr-2026 (Mar 2026), and the company appears to have lost a music-rights litigation case (per a Jul 2026 post, details limited) related to the 'Chunari Chunari' song rights.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dated language, exact quarter unspecified — joinjp2003 (trusted)</w:t>
      </w:r>
      <w:r>
        <w:rPr>
          <w:i/>
          <w:iCs/>
          <w:color w:val="666666"/>
          <w:sz w:val="18"/>
          <w:szCs w:val="18"/>
        </w:rPr>
        <w:t xml:space="preserve"> (My portfolio updates and investment journey)</w:t>
      </w:r>
      <w:r>
        <w:rPr>
          <w:sz w:val="20"/>
          <w:szCs w:val="20"/>
        </w:rPr>
        <w:br/>
        <w:t xml:space="preserve">: Re-entered Tips Industries with detailed deal rationale, later confirming the re-entry 'proven highly beneficial' — real, repeated conviction language.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A music-rights litigation matter (Chunari Chunari song, Pooja Entertainment) was reported as going against Tips per a Jul 2026 forum post, though full details/confirmation were not available in the fetched posts.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trailing return ratios (83.2% 3-yr ROE, 49% ROCE) and a near-debt-free, free-cash-flow-generative business model with a defensible IP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Even at the revised guidance, 20% sustained growth on an 83% ROE base with meaningful dividend payout is still a genuinely strong business by most standards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Sony Music Publishing partnership opens a new global monetization avenue (YouTube outside India) that management frames as still in early ramp-up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Trusted, repeated conviction language from joinjp2003, including a specific and successful re-entry call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cut FY26 growth guidance from 30% to 20% (Oct 2025), citing reduced new-content investment — a real, company-acknowledged deceleration, not just external skepticism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Hari Nair, credited with the digital pivot that drove recent growth, is departing (effective end-Apr-2026) right as growth is already slowing — a leadership-transition risk layered on top of the deceleration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well-argued bear case within the thread itself (declining YouTube views over multiple quarters, heavy reliance on 90s-era content, muted new-content acquisition pace) has not been convincingly rebutted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apparently unfavorable outcome in a music-rights litigation matter, reported just before this scan, adds a fresh, unresolved legal-risk overhang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trailing quality metrics, but three real, recent, company-specific developments (guidance cut, CEO departure, an adverse legal update) point the wrong direction for a multibagger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fundamentals are genuinely excellent (83.2% ROE, 49% ROCE), and the trusted signal is real, repeated, and specific (joinjp2003's re-entry call).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per this project's recency-weighting principle, three material and recent (last 6 months) developments should not be smoothed over by the strong trailing average: management's own guidance cut from 30% to 20%, the departure of the CEO credited with the recent digital-growth pivot, and an apparently adverse litigation update.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the mirror image of the 'weak trailing, strong recent catalyst' exception this project applies to small/mid-caps — here the trailing story is strong but the recent, company-specific trend is weakening, which argues for caution rather than for extending any benefit of the doubt.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Medium, reflecting genuinely strong underlying business quality balanced against real, fresh, unresolved headwinds. thesis_fit is 'neither' given 20% guided growth (even if achieved) doesn't fit either the 10x-in-2-3-years or 100x-in-10-years pace, and the leadership/legal overhangs argue for waiting for clarity rather than assuming the growth deceleration is temporary.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2026-08-23T03:36:12.170Z</dcterms:created>
  <dcterms:modified xsi:type="dcterms:W3CDTF">2026-08-23T03:36:12.170Z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