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Transformer &amp; Rectifier India Limited (TARIL)</w:t>
      </w:r>
    </w:p>
    <w:p>
      <w:pPr>
        <w:pBdr>
          <w:bottom w:val="single" w:color="CCCCCC" w:sz="6" w:space="8"/>
        </w:pBdr>
        <w:spacing w:after="200"/>
      </w:pPr>
      <w:r>
        <w:rPr>
          <w:i/>
          <w:iCs/>
          <w:color w:val="666666"/>
          <w:sz w:val="22"/>
          <w:szCs w:val="22"/>
        </w:rPr>
        <w:t xml:space="preserve">Leveraged to a real transformer super-cycle, but CEO churn, guidance misses, a World Bank/bribery cloud and peak-cycle valuation cap it</w:t>
      </w:r>
    </w:p>
    <w:p>
      <w:pPr>
        <w:pStyle w:val="Heading1"/>
        <w:spacing w:after="120" w:before="280"/>
      </w:pPr>
      <w:r>
        <w:t xml:space="preserve">Business Overview</w:t>
      </w:r>
    </w:p>
    <w:p>
      <w:pPr>
        <w:spacing w:after="120"/>
      </w:pPr>
      <w:r>
        <w:t xml:space="preserve">TARIL manufactures power, furnace and rectifier transformers up to 765 kV / 1200 kV class, serving utilities (PGCIL, state transcos), renewables evacuation and industrial customers. It is mid-way through a large capacity expansion (Moraiya, Changodar) plus backward integration (CRGO, bushings, tap changers) intended to take capacity to ~75,000 MVA and revenue toward a ~$1bn goal by FY28.</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9,100 Cr</w:t>
            </w:r>
          </w:p>
        </w:tc>
      </w:tr>
      <w:tr>
        <w:tc>
          <w:tcPr>
            <w:tcW w:type="dxa" w:w="3200"/>
            <w:shd w:fill="F2F2F2" w:val="clear"/>
          </w:tcPr>
          <w:p>
            <w:r>
              <w:rPr>
                <w:b/>
                <w:bCs/>
              </w:rPr>
              <w:t xml:space="preserve">Revenue (FY26) / PAT</w:t>
            </w:r>
          </w:p>
        </w:tc>
        <w:tc>
          <w:tcPr>
            <w:tcW w:type="dxa" w:w="5800"/>
          </w:tcPr>
          <w:p>
            <w:r>
              <w:t xml:space="preserve">~Rs 2,509 Cr / ~Rs 270 Cr</w:t>
            </w:r>
          </w:p>
        </w:tc>
      </w:tr>
      <w:tr>
        <w:tc>
          <w:tcPr>
            <w:tcW w:type="dxa" w:w="3200"/>
            <w:shd w:fill="F2F2F2" w:val="clear"/>
          </w:tcPr>
          <w:p>
            <w:r>
              <w:rPr>
                <w:b/>
                <w:bCs/>
              </w:rPr>
              <w:t xml:space="preserve">ROCE / ROE</w:t>
            </w:r>
          </w:p>
        </w:tc>
        <w:tc>
          <w:tcPr>
            <w:tcW w:type="dxa" w:w="5800"/>
          </w:tcPr>
          <w:p>
            <w:r>
              <w:t xml:space="preserve">~23.4% / ~28.0% (cycle-peak)</w:t>
            </w:r>
          </w:p>
        </w:tc>
      </w:tr>
      <w:tr>
        <w:tc>
          <w:tcPr>
            <w:tcW w:type="dxa" w:w="3200"/>
            <w:shd w:fill="F2F2F2" w:val="clear"/>
          </w:tcPr>
          <w:p>
            <w:r>
              <w:rPr>
                <w:b/>
                <w:bCs/>
              </w:rPr>
              <w:t xml:space="preserve">Debt/Equity</w:t>
            </w:r>
          </w:p>
        </w:tc>
        <w:tc>
          <w:tcPr>
            <w:tcW w:type="dxa" w:w="5800"/>
          </w:tcPr>
          <w:p>
            <w:r>
              <w:t xml:space="preserve">~30%</w:t>
            </w:r>
          </w:p>
        </w:tc>
      </w:tr>
      <w:tr>
        <w:tc>
          <w:tcPr>
            <w:tcW w:type="dxa" w:w="3200"/>
            <w:shd w:fill="F2F2F2" w:val="clear"/>
          </w:tcPr>
          <w:p>
            <w:r>
              <w:rPr>
                <w:b/>
                <w:bCs/>
              </w:rPr>
              <w:t xml:space="preserve">Order book</w:t>
            </w:r>
          </w:p>
        </w:tc>
        <w:tc>
          <w:tcPr>
            <w:tcW w:type="dxa" w:w="5800"/>
          </w:tcPr>
          <w:p>
            <w:r>
              <w:t xml:space="preserve">~Rs 6,000-6,630 Cr un-executed, ~18-month visibility (management self-limits book to 18 months)</w:t>
            </w:r>
          </w:p>
        </w:tc>
      </w:tr>
      <w:tr>
        <w:tc>
          <w:tcPr>
            <w:tcW w:type="dxa" w:w="3200"/>
            <w:shd w:fill="F2F2F2" w:val="clear"/>
          </w:tcPr>
          <w:p>
            <w:r>
              <w:rPr>
                <w:b/>
                <w:bCs/>
              </w:rPr>
              <w:t xml:space="preserve">FY27 guidance</w:t>
            </w:r>
          </w:p>
        </w:tc>
        <w:tc>
          <w:tcPr>
            <w:tcW w:type="dxa" w:w="5800"/>
          </w:tcPr>
          <w:p>
            <w:r>
              <w:t xml:space="preserve">revised down to ~25% growth, ~9-10% PAT margin (from earlier 35-40%)</w:t>
            </w:r>
          </w:p>
        </w:tc>
      </w:tr>
    </w:tbl>
    <w:p>
      <w:pPr>
        <w:spacing w:after="100"/>
      </w:pPr>
    </w:p>
    <w:p>
      <w:pPr>
        <w:spacing w:after="120"/>
      </w:pPr>
      <w:r>
        <w:t xml:space="preserve">Current return ratios are excellent (ROCE ~23%, ROE ~28%) but this is a cycle peak — India's T&amp;D capex cycle has pulled every transformer maker into favour, and thread veterans explicitly warn that buying transformer stocks at peak multiples has burned investors before. Order intake is not the problem (enquiry pipeline &gt; Rs 23,000 Cr); the risks are self-inflicted: capacity-expansion timelines slipped repeatedly (Moraiya Q2-&gt;Q3 FY26-&gt;Q2 FY27; Changodar Q2-&gt;Q4 FY26-&gt;Q1 FY27), FY27 guidance was cut from 35-40% to ~25% after a weak Q1, and margins guide to only ~9-10% PAT.</w:t>
      </w:r>
    </w:p>
    <w:p>
      <w:pPr>
        <w:pStyle w:val="Heading1"/>
        <w:spacing w:after="120" w:before="280"/>
      </w:pPr>
      <w:r>
        <w:t xml:space="preserve">Ishmohit-Lens Checks (value chain · earnings quality · growth trajectory · management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Power transmission — high-voltage transformers (grid capex / renewables evacuation / data-centre power)</w:t>
            </w:r>
          </w:p>
        </w:tc>
      </w:tr>
      <w:tr>
        <w:tc>
          <w:tcPr>
            <w:tcW w:type="dxa" w:w="3200"/>
            <w:shd w:fill="F2F2F2" w:val="clear"/>
          </w:tcPr>
          <w:p>
            <w:r>
              <w:rPr>
                <w:b/>
                <w:bCs/>
              </w:rPr>
              <w:t xml:space="preserve">This company's position</w:t>
            </w:r>
          </w:p>
        </w:tc>
        <w:tc>
          <w:tcPr>
            <w:tcW w:type="dxa" w:w="5800"/>
          </w:tcPr>
          <w:p>
            <w:r>
              <w:t xml:space="preserve">Tier-1 transformer OEM; bottleneck supplier into a globally supply-constrained transformer market, but one of several credible Indian players (vs Atlanta Electricals, Voltamp, others)</w:t>
            </w:r>
          </w:p>
        </w:tc>
      </w:tr>
      <w:tr>
        <w:tc>
          <w:tcPr>
            <w:tcW w:type="dxa" w:w="3200"/>
            <w:shd w:fill="F2F2F2" w:val="clear"/>
          </w:tcPr>
          <w:p>
            <w:r>
              <w:rPr>
                <w:b/>
                <w:bCs/>
              </w:rPr>
              <w:t xml:space="preserve">Bottleneck node (pricing power)</w:t>
            </w:r>
          </w:p>
        </w:tc>
        <w:tc>
          <w:tcPr>
            <w:tcW w:type="dxa" w:w="5800"/>
          </w:tcPr>
          <w:p>
            <w:r>
              <w:t xml:space="preserve">CRGO steel access, HV testing capacity, and skilled transformer-assembly throughput — global shortage extends lead times industry-wide</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Atlanta Electricals, Voltamp Transformers, Hitachi Energy India, GE Vernova T&amp;D India</w:t>
            </w:r>
          </w:p>
        </w:tc>
      </w:tr>
    </w:tbl>
    <w:p>
      <w:pPr>
        <w:spacing w:after="120"/>
      </w:pPr>
      <w:r>
        <w:rPr>
          <w:color w:val="666666"/>
          <w:sz w:val="18"/>
          <w:szCs w:val="18"/>
        </w:rPr>
        <w:t xml:space="preserve">The demand/bottleneck node is real and accelerating; TARIL's issue is company-specific execution and governance, plus that the whole Indian transformer pack is being bid up together at a cycle peak.</w:t>
      </w:r>
    </w:p>
    <w:p>
      <w:pPr>
        <w:spacing w:after="60" w:before="120"/>
      </w:pPr>
      <w:r>
        <w:rPr>
          <w:b/>
          <w:bCs/>
          <w:sz w:val="20"/>
          <w:szCs w:val="20"/>
        </w:rPr>
        <w:t xml:space="preserve">Global-signal check: </w:t>
      </w:r>
      <w:r>
        <w:rPr>
          <w:b w:val="false"/>
          <w:bCs w:val="false"/>
          <w:color w:val="1E7A34"/>
          <w:sz w:val="20"/>
          <w:szCs w:val="20"/>
        </w:rPr>
        <w:t xml:space="preserve">Indian-name alignment with the Grid + transmission equipment (transformers, HV switchgear, HVDC) tailwind is confirmed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Bellwether / theme</w:t>
            </w:r>
          </w:p>
        </w:tc>
        <w:tc>
          <w:tcPr>
            <w:tcW w:type="dxa" w:w="5800"/>
          </w:tcPr>
          <w:p>
            <w:r>
              <w:t xml:space="preserve">GE Vernova + Siemens Energy — Grid + transmission equipment (transformers, HV switchgear, HVDC)</w:t>
            </w:r>
          </w:p>
        </w:tc>
      </w:tr>
      <w:tr>
        <w:tc>
          <w:tcPr>
            <w:tcW w:type="dxa" w:w="3200"/>
            <w:shd w:fill="F2F2F2" w:val="clear"/>
          </w:tcPr>
          <w:p>
            <w:r>
              <w:rPr>
                <w:b/>
                <w:bCs/>
              </w:rPr>
              <w:t xml:space="preserve">Global tailwind</w:t>
            </w:r>
          </w:p>
        </w:tc>
        <w:tc>
          <w:tcPr>
            <w:tcW w:type="dxa" w:w="5800"/>
          </w:tcPr>
          <w:p>
            <w:r>
              <w:t xml:space="preserve">accelerating</w:t>
            </w:r>
          </w:p>
        </w:tc>
      </w:tr>
      <w:tr>
        <w:tc>
          <w:tcPr>
            <w:tcW w:type="dxa" w:w="3200"/>
            <w:shd w:fill="F2F2F2" w:val="clear"/>
          </w:tcPr>
          <w:p>
            <w:r>
              <w:rPr>
                <w:b/>
                <w:bCs/>
              </w:rPr>
              <w:t xml:space="preserve">Signal looked for</w:t>
            </w:r>
          </w:p>
        </w:tc>
        <w:tc>
          <w:tcPr>
            <w:tcW w:type="dxa" w:w="5800"/>
          </w:tcPr>
          <w:p>
            <w:r>
              <w:t xml:space="preserve">record multi-year transformer/HVDC order book + order-inflow book-to-bill well above 1 + capacity as the binding constraint + firm pricing</w:t>
            </w:r>
          </w:p>
        </w:tc>
      </w:tr>
      <w:tr>
        <w:tc>
          <w:tcPr>
            <w:tcW w:type="dxa" w:w="3200"/>
            <w:shd w:fill="F2F2F2" w:val="clear"/>
          </w:tcPr>
          <w:p>
            <w:r>
              <w:rPr>
                <w:b/>
                <w:bCs/>
              </w:rPr>
              <w:t xml:space="preserve">Found in the Indian name</w:t>
            </w:r>
          </w:p>
        </w:tc>
        <w:tc>
          <w:tcPr>
            <w:tcW w:type="dxa" w:w="5800"/>
          </w:tcPr>
          <w:p>
            <w:r>
              <w:t xml:space="preserve">Q1 FY27: order inflows +218% YoY to Rs 2,114 cr (BtB ~3.7x quarterly revenue), record unexecuted order book Rs 6,630 cr (+26% YoY), enquiry pipeline ~Rs 23,000 cr; revenue only +8% because the Changodar plant is running below capacity while under expansion; EBITDA margin 19.2%.</w:t>
            </w:r>
          </w:p>
        </w:tc>
      </w:tr>
      <w:tr>
        <w:tc>
          <w:tcPr>
            <w:tcW w:type="dxa" w:w="3200"/>
            <w:shd w:fill="F2F2F2" w:val="clear"/>
          </w:tcPr>
          <w:p>
            <w:r>
              <w:rPr>
                <w:b/>
                <w:bCs/>
              </w:rPr>
              <w:t xml:space="preserve">Checked on</w:t>
            </w:r>
          </w:p>
        </w:tc>
        <w:tc>
          <w:tcPr>
            <w:tcW w:type="dxa" w:w="5800"/>
          </w:tcPr>
          <w:p>
            <w:r>
              <w:t xml:space="preserve">2026-09-01</w:t>
            </w:r>
          </w:p>
        </w:tc>
      </w:tr>
    </w:tbl>
    <w:p>
      <w:pPr>
        <w:spacing w:after="120"/>
      </w:pPr>
      <w:r>
        <w:rPr>
          <w:color w:val="666666"/>
          <w:sz w:val="18"/>
          <w:szCs w:val="18"/>
        </w:rPr>
        <w:t xml:space="preserve">Direct exporter into the same global grid-capex wave. Its own order book is inflecting on the identical driver (transmission capex + RE integration + exports) the bellwethers cited, and — like the global names — capacity, not demand, is the constraint.</w:t>
      </w:r>
    </w:p>
    <w:p>
      <w:pPr>
        <w:pStyle w:val="Heading1"/>
        <w:spacing w:after="120" w:before="280"/>
      </w:pPr>
      <w:r>
        <w:t xml:space="preserve">Technical Read (Weekly / Monthly MACD + Bollinger Bands, or RSI/CCI/Williams %R proxy)</w:t>
      </w:r>
    </w:p>
    <w:p>
      <w:pPr>
        <w:spacing w:after="120"/>
      </w:pPr>
      <w:r>
        <w:t xml:space="preserve">Stock de-rated materially through late 2025 / 2026 despite good quarterly numbers — the market is discounting governance/execution, not demand.</w:t>
      </w:r>
    </w:p>
    <w:p>
      <w:pPr>
        <w:pStyle w:val="Heading1"/>
        <w:spacing w:after="120" w:before="280"/>
      </w:pPr>
      <w:r>
        <w:t xml:space="preserve">ValuePickr Community Signal</w:t>
      </w:r>
    </w:p>
    <w:p>
      <w:pPr>
        <w:spacing w:after="120"/>
      </w:pPr>
      <w:r>
        <w:t xml:space="preserve">First-time deep read — last ~20 of 282 posts, Jan 2026 to Jul 2026. Sentiment is notably wary for a stock in a hot sector: (1) CEO Mukul Srivastava (ex-CG Power, joined Jul 2025) resigned within ~6 months (relieved Jan 2026) — members read it as a family-run firm unable to cede control to professional management, a governance flag; (2) repeated capacity-commissioning delays denting management credibility; (3) a 'World Bank issue' plus an old, near-invisible bribery allegation against management, with members reporting 'extremely generic, non-satisfying' answers on it; (4) news of the government relaxing rules for Chinese players in the 765 kV segment. A widely-shared drvijaymalik.com piece is skeptical on valuation/quality.</w:t>
      </w:r>
    </w:p>
    <w:p>
      <w:pPr>
        <w:spacing w:after="120"/>
      </w:pPr>
      <w:r>
        <w:rPr>
          <w:b/>
          <w:bCs/>
          <w:sz w:val="20"/>
          <w:szCs w:val="20"/>
        </w:rPr>
        <w:t xml:space="preserve">High-conviction call from a top contributor: </w:t>
      </w:r>
      <w:r>
        <w:rPr>
          <w:sz w:val="20"/>
          <w:szCs w:val="20"/>
        </w:rPr>
        <w:t xml:space="preserve">No trusted-roster users. Substantive non-roster posts: Marathondreams, vivek_lakhani, cdas3317, Krishna_Kumar (loves 5-9) — all constructive on the sector but flagging governance/timeline risk; omsingla (love 3) specifically raised the bribery-allegation + World Bank concern and chose to stay out.</w:t>
      </w:r>
    </w:p>
    <w:p>
      <w:pPr>
        <w:pStyle w:val="Heading1"/>
        <w:spacing w:after="120" w:before="280"/>
      </w:pPr>
      <w:r>
        <w:t xml:space="preserve">BSE Corporate Actions / Other Red Flags</w:t>
      </w:r>
    </w:p>
    <w:p>
      <w:pPr>
        <w:spacing w:after="120"/>
      </w:pPr>
      <w:r/>
    </w:p>
    <w:p>
      <w:pPr>
        <w:pStyle w:val="Heading1"/>
        <w:spacing w:after="120" w:before="280"/>
      </w:pPr>
      <w:r>
        <w:t xml:space="preserve">Bull Case</w:t>
      </w:r>
    </w:p>
    <w:p>
      <w:pPr>
        <w:pStyle w:val="ListParagraph"/>
        <w:numPr>
          <w:ilvl w:val="0"/>
          <w:numId w:val="1"/>
        </w:numPr>
        <w:spacing w:after="60"/>
      </w:pPr>
      <w:r>
        <w:t xml:space="preserve">Direct leverage to a genuine, multi-year transformer super-cycle (grid capex, renewables evacuation, replacement, data centres) — global proxy for GE Vernova / Siemens Energy grid backlogs that are still accelerating</w:t>
      </w:r>
    </w:p>
    <w:p>
      <w:pPr>
        <w:pStyle w:val="ListParagraph"/>
        <w:numPr>
          <w:ilvl w:val="0"/>
          <w:numId w:val="1"/>
        </w:numPr>
        <w:spacing w:after="60"/>
      </w:pPr>
      <w:r>
        <w:t xml:space="preserve">Order book ~Rs 6,000+ Cr with an enquiry pipeline several multiples of that; management deliberately caps the book at 18 months for execution discipline</w:t>
      </w:r>
    </w:p>
    <w:p>
      <w:pPr>
        <w:pStyle w:val="ListParagraph"/>
        <w:numPr>
          <w:ilvl w:val="0"/>
          <w:numId w:val="1"/>
        </w:numPr>
        <w:spacing w:after="60"/>
      </w:pPr>
      <w:r>
        <w:t xml:space="preserve">Backward integration (CRGO, bushings, OLTC) should structurally lift margins if commissioned on time</w:t>
      </w:r>
    </w:p>
    <w:p>
      <w:pPr>
        <w:pStyle w:val="ListParagraph"/>
        <w:numPr>
          <w:ilvl w:val="0"/>
          <w:numId w:val="1"/>
        </w:numPr>
        <w:spacing w:after="60"/>
      </w:pPr>
      <w:r>
        <w:t xml:space="preserve">Cycle-peak return ratios (ROCE ~23%, ROE ~28%) with only ~30% D/E</w:t>
      </w:r>
    </w:p>
    <w:p>
      <w:pPr>
        <w:pStyle w:val="Heading1"/>
        <w:spacing w:after="120" w:before="280"/>
      </w:pPr>
      <w:r>
        <w:t xml:space="preserve">Bear Case / Key Risks</w:t>
      </w:r>
    </w:p>
    <w:p>
      <w:pPr>
        <w:pStyle w:val="ListParagraph"/>
        <w:numPr>
          <w:ilvl w:val="0"/>
          <w:numId w:val="1"/>
        </w:numPr>
        <w:spacing w:after="60"/>
      </w:pPr>
      <w:r>
        <w:t xml:space="preserve">CEO resigned within ~6 months — promoter/professional-management friction is a live governance concern</w:t>
      </w:r>
    </w:p>
    <w:p>
      <w:pPr>
        <w:pStyle w:val="ListParagraph"/>
        <w:numPr>
          <w:ilvl w:val="0"/>
          <w:numId w:val="1"/>
        </w:numPr>
        <w:spacing w:after="60"/>
      </w:pPr>
      <w:r>
        <w:t xml:space="preserve">A World Bank matter plus a bribery allegation against management, answered only with generic commentary — unresolved integrity question</w:t>
      </w:r>
    </w:p>
    <w:p>
      <w:pPr>
        <w:pStyle w:val="ListParagraph"/>
        <w:numPr>
          <w:ilvl w:val="0"/>
          <w:numId w:val="1"/>
        </w:numPr>
        <w:spacing w:after="60"/>
      </w:pPr>
      <w:r>
        <w:t xml:space="preserve">Capacity-expansion timelines have slipped three times; FY27 guidance already cut from 35-40% to ~25%</w:t>
      </w:r>
    </w:p>
    <w:p>
      <w:pPr>
        <w:pStyle w:val="ListParagraph"/>
        <w:numPr>
          <w:ilvl w:val="0"/>
          <w:numId w:val="1"/>
        </w:numPr>
        <w:spacing w:after="60"/>
      </w:pPr>
      <w:r>
        <w:t xml:space="preserve">Chinese 765 kV players being allowed back in; buying a cyclical transformer maker at peak margins and a re-rated multiple has historically produced poor returns</w:t>
      </w:r>
    </w:p>
    <w:p>
      <w:pPr>
        <w:pStyle w:val="Heading1"/>
        <w:spacing w:after="120" w:before="280"/>
      </w:pPr>
      <w:r>
        <w:t xml:space="preserve">Market-Cap Tier (informational — not a gate in this project)</w:t>
      </w:r>
    </w:p>
    <w:p>
      <w:pPr>
        <w:spacing w:after="120"/>
      </w:pPr>
      <w:r>
        <w:rPr>
          <w:b/>
          <w:bCs/>
        </w:rPr>
        <w:t xml:space="preserve">Small/Mid-cap (~Rs 9,100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Right sector, wrong risk profile — governance cloud + guidance misses + peak-cycle valuation make it 'neither'</w:t>
      </w:r>
    </w:p>
    <w:p>
      <w:pPr>
        <w:pStyle w:val="ListParagraph"/>
        <w:numPr>
          <w:ilvl w:val="0"/>
          <w:numId w:val="1"/>
        </w:numPr>
        <w:spacing w:after="60"/>
      </w:pPr>
      <w:r>
        <w:t xml:space="preserve">Global-proxy note: TARIL proxies GE Vernova + Siemens Energy grid/transformer capex, and that global tailwind is currently accelerating (GEV Electrification orders +66% organic, Siemens Grid record backlog). TARIL is genuinely exposed to the transformer bottleneck node, not just loosely themed.</w:t>
      </w:r>
    </w:p>
    <w:p>
      <w:pPr>
        <w:pStyle w:val="ListParagraph"/>
        <w:numPr>
          <w:ilvl w:val="0"/>
          <w:numId w:val="1"/>
        </w:numPr>
        <w:spacing w:after="60"/>
      </w:pPr>
      <w:r>
        <w:t xml:space="preserve">But company-specific factors dominate: a ~6-month CEO exit, an unresolved World Bank/bribery question with evasive management answers (HIGH-CAUTION-adjacent on governance, though no confirmed active SEBI action), thrice-delayed capacity, and an FY27 guidance cut — against a cycle-peak multiple that thread veterans explicitly warn about.</w:t>
      </w:r>
    </w:p>
    <w:p>
      <w:pPr>
        <w:pStyle w:val="ListParagraph"/>
        <w:numPr>
          <w:ilvl w:val="0"/>
          <w:numId w:val="1"/>
        </w:numPr>
        <w:spacing w:after="60"/>
      </w:pPr>
      <w:r>
        <w:t xml:space="preserve">Net: thesis_fit 'neither'. Conviction Low-Medium. Revisit only if governance clarifies and the backward-integration plants actually commission on the revised timeline.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2026-09-01T14:16:41.097Z</dcterms:created>
  <dcterms:modified xsi:type="dcterms:W3CDTF">2026-09-01T14:16:41.102Z</dcterms:modified>
</cp:coreProperties>
</file>

<file path=docProps/custom.xml><?xml version="1.0" encoding="utf-8"?>
<Properties xmlns="http://schemas.openxmlformats.org/officeDocument/2006/custom-properties" xmlns:vt="http://schemas.openxmlformats.org/officeDocument/2006/docPropsVTypes"/>
</file>