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Transrail Lighting Ltd</w:t>
      </w:r>
    </w:p>
    <w:p>
      <w:pPr>
        <w:pBdr>
          <w:bottom w:val="single" w:color="CCCCCC" w:sz="6" w:space="8"/>
        </w:pBdr>
        <w:spacing w:after="200"/>
      </w:pPr>
      <w:r>
        <w:rPr>
          <w:i/>
          <w:iCs/>
          <w:color w:val="666666"/>
          <w:sz w:val="22"/>
          <w:szCs w:val="22"/>
        </w:rPr>
        <w:t xml:space="preserve">Fast-growing T&amp;D EPC play with a large order book and industry-leading margins, but stock has been pulled back to near-IPO levels amid several unresolved sentiment overhangs</w:t>
      </w:r>
    </w:p>
    <w:p>
      <w:pPr>
        <w:pStyle w:val="Heading1"/>
        <w:spacing w:after="120" w:before="280"/>
      </w:pPr>
      <w:r>
        <w:t xml:space="preserve">Business Overview</w:t>
      </w:r>
    </w:p>
    <w:p>
      <w:pPr>
        <w:spacing w:after="120"/>
      </w:pPr>
      <w:r>
        <w:t xml:space="preserve">Transrail is a power transmission &amp; distribution (T&amp;D) EPC company also manufacturing towers/conductors, with growing international order flow (Africa, MENA) and an ongoing capacity expansion at its Butibori tower-manufacturing plant. Order book stood at ~Rs 15,000-17,800 Cr (incl. L1) as of Nov 2025.</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6,176 Cr</w:t>
            </w:r>
          </w:p>
        </w:tc>
      </w:tr>
      <w:tr>
        <w:tc>
          <w:tcPr>
            <w:tcW w:type="dxa" w:w="3200"/>
            <w:shd w:fill="F2F2F2" w:val="clear"/>
          </w:tcPr>
          <w:p>
            <w:r>
              <w:rPr>
                <w:b/>
                <w:bCs/>
              </w:rPr>
              <w:t xml:space="preserve">ROCE / ROE</w:t>
            </w:r>
          </w:p>
        </w:tc>
        <w:tc>
          <w:tcPr>
            <w:tcW w:type="dxa" w:w="5800"/>
          </w:tcPr>
          <w:p>
            <w:r>
              <w:t xml:space="preserve">29.2% / 20.0%</w:t>
            </w:r>
          </w:p>
        </w:tc>
      </w:tr>
      <w:tr>
        <w:tc>
          <w:tcPr>
            <w:tcW w:type="dxa" w:w="3200"/>
            <w:shd w:fill="F2F2F2" w:val="clear"/>
          </w:tcPr>
          <w:p>
            <w:r>
              <w:rPr>
                <w:b/>
                <w:bCs/>
              </w:rPr>
              <w:t xml:space="preserve">Revenue growth</w:t>
            </w:r>
          </w:p>
        </w:tc>
        <w:tc>
          <w:tcPr>
            <w:tcW w:type="dxa" w:w="5800"/>
          </w:tcPr>
          <w:p>
            <w:r>
              <w:t xml:space="preserve">FY26 revenue Rs 6,880 Cr, +30% YoY; FY27 guidance +20%</w:t>
            </w:r>
          </w:p>
        </w:tc>
      </w:tr>
      <w:tr>
        <w:tc>
          <w:tcPr>
            <w:tcW w:type="dxa" w:w="3200"/>
            <w:shd w:fill="F2F2F2" w:val="clear"/>
          </w:tcPr>
          <w:p>
            <w:r>
              <w:rPr>
                <w:b/>
                <w:bCs/>
              </w:rPr>
              <w:t xml:space="preserve">Debt</w:t>
            </w:r>
          </w:p>
        </w:tc>
        <w:tc>
          <w:tcPr>
            <w:tcW w:type="dxa" w:w="5800"/>
          </w:tcPr>
          <w:p>
            <w:r>
              <w:t xml:space="preserve">D/E ~0.3x; net debt ~Rs 250 Cr ex-IPO proceeds per management</w:t>
            </w:r>
          </w:p>
        </w:tc>
      </w:tr>
      <w:tr>
        <w:tc>
          <w:tcPr>
            <w:tcW w:type="dxa" w:w="3200"/>
            <w:shd w:fill="F2F2F2" w:val="clear"/>
          </w:tcPr>
          <w:p>
            <w:r>
              <w:rPr>
                <w:b/>
                <w:bCs/>
              </w:rPr>
              <w:t xml:space="preserve">52-week range</w:t>
            </w:r>
          </w:p>
        </w:tc>
        <w:tc>
          <w:tcPr>
            <w:tcW w:type="dxa" w:w="5800"/>
          </w:tcPr>
          <w:p>
            <w:r>
              <w:t xml:space="preserve">Rs 450 - 823 (stock pulled back to near-IPO levels despite strong fundamentals)</w:t>
            </w:r>
          </w:p>
        </w:tc>
      </w:tr>
    </w:tbl>
    <w:p>
      <w:pPr>
        <w:spacing w:after="100"/>
      </w:pPr>
    </w:p>
    <w:p>
      <w:pPr>
        <w:spacing w:after="120"/>
      </w:pPr>
      <w:r>
        <w:t xml:space="preserve">Genuinely strong operating metrics (29.2% ROCE, industry-leading ~12% EBITDA margin per management guidance, Rs 600 Cr OCF vs Rs 327 Cr FY25 net profit) and a large, growing order book. However the stock has been pulled back to near its IPO price despite consistently good results, which the community itself struggled to fully explain (one Jun 2026 post explicitly asked why the market was punishing the stock given clean promoter holding, no pledging, and a booming sector backdrop).</w:t>
      </w:r>
    </w:p>
    <w:p>
      <w:pPr>
        <w:pStyle w:val="Heading1"/>
        <w:spacing w:after="120" w:before="280"/>
      </w:pPr>
      <w:r>
        <w:t xml:space="preserve">Technical Read (Weekly / Monthly MACD + Bollinger Bands, or RSI/CCI/Williams %R proxy)</w:t>
      </w:r>
    </w:p>
    <w:p>
      <w:pPr>
        <w:spacing w:after="120"/>
      </w:pPr>
      <w:r>
        <w:t xml:space="preserve">Not independently pulled this pass - stock near 52-week lows despite fundamental strength.</w:t>
      </w:r>
    </w:p>
    <w:p>
      <w:pPr>
        <w:pStyle w:val="Heading1"/>
        <w:spacing w:after="120" w:before="280"/>
      </w:pPr>
      <w:r>
        <w:t xml:space="preserve">ValuePickr Community Signal</w:t>
      </w:r>
    </w:p>
    <w:p>
      <w:pPr>
        <w:spacing w:after="120"/>
      </w:pPr>
      <w:r>
        <w:t xml:space="preserve">Read 50 of 67 available posts (of 75 total) spanning Feb 2025 to Jul 2026. Sentiment arc: early optimism on order wins and Elecrama presence -&gt; a Jun 2025 caution flag from a trusted user (Vansh_Dhelia) on elevated trade payables (100+ days above peers) and a view that valuations were "fairly priced," not cheap, for what is fundamentally an EPC business -&gt; a Nov 2025 cluster of unresolved sentiment overhangs (a vague reference to the company being "caught in the TARIL fiasco" - an apparent sector-contagion/rumor association with a governance issue at a differently-named company, never clarified in the thread; unconfirmed moneycontrol rumors of Transrail employees abducted in Angola; a bearish short-thesis presentation by Nitin Mangal shared by a trusted user who does not track the company) -&gt; a Dec 2025 MNRE renewable-lending-halt rumor later officially denied -&gt; a May 2026 confirmed GST Authority order demanding Rs 8.23 Cr unpaid tax plus a Rs 42.74 Cr penalty, described by the source article as "disproportionately high" -&gt; by Jun 2026 an explicit community question (untrusted user, but detailed and reasonable) asking why the stock kept falling toward IPO levels despite clean fundamentals and no clear disqualifying answer emerging in the thread.</w:t>
      </w:r>
    </w:p>
    <w:p>
      <w:pPr>
        <w:spacing w:after="120"/>
      </w:pPr>
      <w:r>
        <w:rPr>
          <w:b/>
          <w:bCs/>
          <w:sz w:val="20"/>
          <w:szCs w:val="20"/>
        </w:rPr>
        <w:t xml:space="preserve">High-conviction call from a top contributor: </w:t>
      </w:r>
      <w:r>
        <w:rPr>
          <w:sz w:val="20"/>
          <w:szCs w:val="20"/>
        </w:rPr>
        <w:t xml:space="preserve">Vansh_Dhelia (trusted) flagged elevated working-capital/payables risk and called valuations fairly priced rather than cheap - a measured, not bullish, signal. Tushar_Gupta1, vivek_lakhani, Jitendrapd94 (all trusted) posted informational concall/order-win summaries without conviction language. Ghonarbochon (trusted) noted "doubts in people's mind and shakeout" around the Nov 2025 rumor cluster - a caution note, not a buy signal. sumit680 (trusted, disclosed invested) attributed the stock's weakness to market fear of commodity-price-driven margin compression, offering a constructive but non-emphatic read. No trusted user made an explicit high-conviction buy call.</w:t>
      </w:r>
    </w:p>
    <w:p>
      <w:pPr>
        <w:pStyle w:val="Heading1"/>
        <w:spacing w:after="120" w:before="280"/>
      </w:pPr>
      <w:r>
        <w:t xml:space="preserve">BSE Corporate Actions / Other Red Flags</w:t>
      </w:r>
    </w:p>
    <w:p>
      <w:pPr>
        <w:spacing w:after="120"/>
      </w:pPr>
      <w:r>
        <w:t xml:space="preserve">May 2026: GST Authority formal order for Rs 8.23 Cr unpaid tax plus a Rs 42.74 Cr penalty - a real, confirmed regulatory/tax dispute, outcome/appeal status not covered in the thread. Nov 2025: unconfirmed moneycontrol rumors of an employee-safety incident in Angola, and a vague, unclarified reference to a 'TARIL fiasco' association.</w:t>
      </w:r>
    </w:p>
    <w:p>
      <w:pPr>
        <w:pStyle w:val="Heading1"/>
        <w:spacing w:after="120" w:before="280"/>
      </w:pPr>
      <w:r>
        <w:t xml:space="preserve">Bull Case</w:t>
      </w:r>
    </w:p>
    <w:p>
      <w:pPr>
        <w:pStyle w:val="ListParagraph"/>
        <w:numPr>
          <w:ilvl w:val="0"/>
          <w:numId w:val="1"/>
        </w:numPr>
        <w:spacing w:after="60"/>
      </w:pPr>
      <w:r>
        <w:t xml:space="preserve">Large, growing order book (~Rs 15,000-17,800 Cr incl. L1) against a Rs 6,176 Cr market cap gives multi-year revenue visibility</w:t>
      </w:r>
    </w:p>
    <w:p>
      <w:pPr>
        <w:pStyle w:val="ListParagraph"/>
        <w:numPr>
          <w:ilvl w:val="0"/>
          <w:numId w:val="1"/>
        </w:numPr>
        <w:spacing w:after="60"/>
      </w:pPr>
      <w:r>
        <w:t xml:space="preserve">Industry-leading EBITDA margins (~12%, in line with RHP guidance) and strong ROCE (29.2%) reflect real execution quality, not just top-line growth</w:t>
      </w:r>
    </w:p>
    <w:p>
      <w:pPr>
        <w:pStyle w:val="ListParagraph"/>
        <w:numPr>
          <w:ilvl w:val="0"/>
          <w:numId w:val="1"/>
        </w:numPr>
        <w:spacing w:after="60"/>
      </w:pPr>
      <w:r>
        <w:t xml:space="preserve">Clean promoter holding (71%, unpledged) and manageable net debt (~Rs 250 Cr ex-IPO)</w:t>
      </w:r>
    </w:p>
    <w:p>
      <w:pPr>
        <w:pStyle w:val="ListParagraph"/>
        <w:numPr>
          <w:ilvl w:val="0"/>
          <w:numId w:val="1"/>
        </w:numPr>
        <w:spacing w:after="60"/>
      </w:pPr>
      <w:r>
        <w:t xml:space="preserve">Capacity expansion (Butibori greenfield completed, brownfield due mid-2026) sets up further volume growth with potential margin edge over peers</w:t>
      </w:r>
    </w:p>
    <w:p>
      <w:pPr>
        <w:pStyle w:val="ListParagraph"/>
        <w:numPr>
          <w:ilvl w:val="0"/>
          <w:numId w:val="1"/>
        </w:numPr>
        <w:spacing w:after="60"/>
      </w:pPr>
      <w:r>
        <w:t xml:space="preserve">Stock pulled back to near-IPO levels despite unchanged-to-improving fundamentals - a potential valuation opportunity if the sentiment overhangs prove non-material</w:t>
      </w:r>
    </w:p>
    <w:p>
      <w:pPr>
        <w:pStyle w:val="Heading1"/>
        <w:spacing w:after="120" w:before="280"/>
      </w:pPr>
      <w:r>
        <w:t xml:space="preserve">Bear Case / Key Risks</w:t>
      </w:r>
    </w:p>
    <w:p>
      <w:pPr>
        <w:pStyle w:val="ListParagraph"/>
        <w:numPr>
          <w:ilvl w:val="0"/>
          <w:numId w:val="1"/>
        </w:numPr>
        <w:spacing w:after="60"/>
      </w:pPr>
      <w:r>
        <w:t xml:space="preserve">A real, confirmed GST penalty (Rs 42.74 Cr) and unpaid-tax demand (Rs 8.23 Cr) as of May 2026, with no resolution/appeal outcome reported in the thread</w:t>
      </w:r>
    </w:p>
    <w:p>
      <w:pPr>
        <w:pStyle w:val="ListParagraph"/>
        <w:numPr>
          <w:ilvl w:val="0"/>
          <w:numId w:val="1"/>
        </w:numPr>
        <w:spacing w:after="60"/>
      </w:pPr>
      <w:r>
        <w:t xml:space="preserve">Multiple unresolved, unclarified reputational/sentiment items from Nov 2025 (Angola employee-safety rumor, vague 'TARIL fiasco' association, a short-seller presentation) that the community itself could not fully explain or dismiss</w:t>
      </w:r>
    </w:p>
    <w:p>
      <w:pPr>
        <w:pStyle w:val="ListParagraph"/>
        <w:numPr>
          <w:ilvl w:val="0"/>
          <w:numId w:val="1"/>
        </w:numPr>
        <w:spacing w:after="60"/>
      </w:pPr>
      <w:r>
        <w:t xml:space="preserve">Elevated working-capital intensity (100+ days higher trade payables than peers) flagged by a trusted user as a structural, not one-off, concern</w:t>
      </w:r>
    </w:p>
    <w:p>
      <w:pPr>
        <w:pStyle w:val="ListParagraph"/>
        <w:numPr>
          <w:ilvl w:val="0"/>
          <w:numId w:val="1"/>
        </w:numPr>
        <w:spacing w:after="60"/>
      </w:pPr>
      <w:r>
        <w:t xml:space="preserve">No trusted-roster user has made an explicit conviction call; even the most engaged trusted participant (Vansh_Dhelia) characterized valuation as fair rather than attractive</w:t>
      </w:r>
    </w:p>
    <w:p>
      <w:pPr>
        <w:pStyle w:val="ListParagraph"/>
        <w:numPr>
          <w:ilvl w:val="0"/>
          <w:numId w:val="1"/>
        </w:numPr>
        <w:spacing w:after="60"/>
      </w:pPr>
      <w:r>
        <w:t xml:space="preserve">As an EPC business, one non-trusted but reasonable poster noted the company has no real structural moat versus larger peers (KEC, KPIL)</w:t>
      </w:r>
    </w:p>
    <w:p>
      <w:pPr>
        <w:pStyle w:val="Heading1"/>
        <w:spacing w:after="120" w:before="280"/>
      </w:pPr>
      <w:r>
        <w:t xml:space="preserve">Market-Cap Tier (informational — not a gate in this project)</w:t>
      </w:r>
    </w:p>
    <w:p>
      <w:pPr>
        <w:spacing w:after="120"/>
      </w:pPr>
      <w:r>
        <w:rPr>
          <w:b/>
          <w:bCs/>
        </w:rPr>
        <w:t xml:space="preserve">Small-cap (~Rs 6,176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Strong underlying execution and order book undercut by a real tax penalty and a cluster of unresolved sentiment overhangs the community itself couldn't explain away</w:t>
      </w:r>
    </w:p>
    <w:p>
      <w:pPr>
        <w:pStyle w:val="ListParagraph"/>
        <w:numPr>
          <w:ilvl w:val="0"/>
          <w:numId w:val="1"/>
        </w:numPr>
        <w:spacing w:after="60"/>
      </w:pPr>
      <w:r>
        <w:t xml:space="preserve">Fundamentals (ROCE, order book, margins, clean promoter holding) support a genuine small-cap growth case</w:t>
      </w:r>
    </w:p>
    <w:p>
      <w:pPr>
        <w:pStyle w:val="ListParagraph"/>
        <w:numPr>
          <w:ilvl w:val="0"/>
          <w:numId w:val="1"/>
        </w:numPr>
        <w:spacing w:after="60"/>
      </w:pPr>
      <w:r>
        <w:t xml:space="preserve">But the persistent stock weakness despite good results, plus a confirmed GST penalty and several unclarified Nov 2025 rumors, means conviction should stay moderate until the tax dispute and reputational items are resolved or clearly dismissed</w:t>
      </w:r>
    </w:p>
    <w:p>
      <w:pPr>
        <w:pStyle w:val="ListParagraph"/>
        <w:numPr>
          <w:ilvl w:val="0"/>
          <w:numId w:val="1"/>
        </w:numPr>
        <w:spacing w:after="60"/>
      </w:pPr>
      <w:r>
        <w:t xml:space="preserve">No trusted-user conviction call exists to override this caution - the most substantive trusted input (Vansh_Dhelia) leaned toward 'fairly priced,' not undervalued</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2026-08-23T09:59:07.729Z</dcterms:created>
  <dcterms:modified xsi:type="dcterms:W3CDTF">2026-08-23T09:59:07.731Z</dcterms:modified>
</cp:coreProperties>
</file>

<file path=docProps/custom.xml><?xml version="1.0" encoding="utf-8"?>
<Properties xmlns="http://schemas.openxmlformats.org/officeDocument/2006/custom-properties" xmlns:vt="http://schemas.openxmlformats.org/officeDocument/2006/docPropsVTypes"/>
</file>