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Travel Food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Indian airport F&amp;B and lounge operator (~26% travel-QSR share, ~45% lounge share), debt-free with ~42% ROCE and a decade of 20%+ compounding - a genuinely high-quality franchise, but a ~Rs 17,800 Cr large-cap at ~46x earnings growing ~20%, so the return math, not the quality, is the constraint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TFS operates multi-brand quick-service F&amp;B outlets and lounges inside Indian airports (and some highways and overseas airports), plus the EATS lounge-access/payments platform. It holds ~26% share of the Indian airport travel-QSR market and ~45% of the airport-lounge market, with JVs alongside Adani and GMR at their airports. Listed July 2025 at Rs 1,100. Sovrenn Daily News seed (2026-09-02); Sovrenn trigger: Q4 FY26 sales +26% YoY to ~Rs 461 Cr, net profit +15% YoY to ~Rs 123 Cr, OPM 37% -&gt; 40%.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17,800 Cr; ~46x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(FY25)</w:t>
            </w:r>
          </w:p>
        </w:tc>
        <w:tc>
          <w:tcPr>
            <w:tcW w:type="dxa" w:w="5800"/>
          </w:tcPr>
          <w:p>
            <w:r>
              <w:t xml:space="preserve">~Rs 1,688 Cr / ~Rs 380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~39% / ~42%; net cash (~Rs 749 Cr),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 sales ~Rs 452 Cr (+20.6% YoY), PAT ~Rs 129 Cr (+35.6% YoY), OPM ~40%; Noida airport operations commenced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W w:type="dxa" w:w="5800"/>
          </w:tcPr>
          <w:p>
            <w:r>
              <w:t xml:space="preserve">Added 87 travel-QSR outlets + 2 lounges over the last 12 months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 / decade record</w:t>
            </w:r>
          </w:p>
        </w:tc>
        <w:tc>
          <w:tcPr>
            <w:tcW w:type="dxa" w:w="5800"/>
          </w:tcPr>
          <w:p>
            <w:r>
              <w:t xml:space="preserve">~26% airport travel-QSR, ~45% airport lounges; &gt;20% CAGR in system-wide revenue and PAT over the last decade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high-quality asset-light franchise: ~40% operating margin, ~42% ROCE, debt-free with ~Rs 749 Cr cash, ~26%/45% category share, JV alignment with the two big airport operators, and a decade of 20%+ system-wide revenue and PAT growth. Q1 FY27 delivered +21% sales / +36% PAT with the Noida airport starting. The constraint is arithmetic, not business: at ~Rs 17,800 Cr and ~46x earnings, growing ~20% off a large base, there is no path to a 10x-in-2-3-years or 100x-in-10-years outcome, and there is no named management change or structural inflection that would justify treating it as an exception to size math. Risks are the airport operators (Adani/GMR) taking a bigger slice via the JVs, the government's UDAN Yatri Cafe pressuring low-ticket spend, promoter overhang, and concession-renewal risk.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airport infrastructure / travel retail - F&amp;B concessions and lounges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Indian airport travel-QSR and lounge operator (~26% / ~45% share) with EATS platform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airport concession slots + renewal terms; airport-operator revenue-share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Devyani International, Sapphire Foods, Jubilant FoodWorks, Barbeque Nation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Concession-based moat with genuine scale economics, but the airport operators (Adani/GMR) are structurally positioned to capture more of the value over time.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Listed July 2025 at Rs 1,100; trading modestly above issue.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3-substantive-post thread (2026). AbhijeetSakhare's initiation lays out the ~26%/45% share, ~40% ROE, debt-free balance sheet and ~60% FY22-25 revenue CAGR (COVID base). drjpatwa (invested ~Rs 1,050) works through the bear points - airport operators encroaching (mitigated by existing Adani/GMR JVs), brands being able to bid directly (mitigated by TFS's multi-outlet cost model and long leases), and the UDAN Yatri Cafe threat - and concludes TFS keeps an operating edge. AbhijeetSakhare agrees; both disclose being invested.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Constructive but light retail coverage; two posters invested. Trusted user Satishwe has bookmarked the thread but posted no view. No sized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Recent IPO (July 2025). Debt-free, ~Rs 749 Cr cash. Promoter overhang noted by forum members as a post-IPO consideration.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category share (~26% airport travel-QSR, ~45% airport lounges) with high entry barriers (concessions, multi-outlet scale, long leases)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~40% operating margin, ~42% ROCE, debt-free with ~Rs 749 Cr cash - asset-light, cash-generative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&gt;20% system-wide revenue and PAT CAGR for a decade; Q1 FY27 +21% sales / +36% PAT with Noida airport starting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Indian air-traffic growth + lounge-penetration tailwind; EATS platform disintermediates card networks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 alignment with Adani and GMR converts the operator threat into a partnership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17,800 Cr large-cap at ~46x earnings growing ~20% - no 10x/100x path, and no named inflection to override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Airport operators (Adani/GMR) can keep taking a larger share of the economics through the JVs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UDAN Yatri Cafe initiative pressures low-ticket airport spend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Concession-renewal risk; promoter overhang post-IPO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leaves little margin of safety if traffic or margin growth slows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 airport-F&amp;B franchise (42% ROCE, debt-free, decade of 20%+ compounding, duopoly share) - but a ~Rs 17,800 Cr large-cap at ~46x earnings growing ~20%, with no named inflection, so size math makes it thesis_fit neither. Conviction Medium on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trigger (Q4 FY26 sales +26% / PAT +15%, OPM 37% -&gt; 40%) holds and Q1 FY27 (+21% sales / +36% PAT) confirms the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large-cap: the large-cap default is thesis_fit neither on size math, and the one exception - a specific named management or structural inflection - does not apply here (this is 'good business, good tailwind, good execution', not a CEO turnaround or a regulatory-structure shift)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is high (ROCE ~42%, debt-free, ~26%/45% category share, decade of 20%+ CAGR), so conviction is Medium, not lower - but the return math does not support a max-returns framing at ~46x earnings and ~20% growth off a large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live-theme match on the active list (airport travel-retail is not a listed theme);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false. Would revisit the framing only on a genuine structural change (e.g. a step-change in concession terms or a large adjacency)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2026-09-02T18:02:08.904Z</dcterms:created>
  <dcterms:modified xsi:type="dcterms:W3CDTF">2026-09-02T18:02:08.906Z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