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Unihealth Hospitals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High-growth Africa hospital platform (Uganda crown jewel) now expanding into India — real operating momentum, but P/E ~50, SME liquidity and a minority-owned India vehicle cap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Unihealth Hospitals (formerly Unihealth Medical Consultancy; NSE SME: UNIHEALTH) operates hospitals and medical centres primarily in Uganda (its mature, cash-generative core), plus consultancy services, pharma exports/distribution, and now an India expansion (Navi Mumbai and Nashik hospitals) run through UMC Hospitals Pvt Ltd. Exited Nigeria in FY25. Active ValuePickr thread (55 posts) read to July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1,284 Cr (NSE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~21.5% / ~24.5%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~Rs 1.32bn, +33% YoY; multi-year ~135% headline growth, ~38.6% 5-yr PAT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~12%; Ugandan unit now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working capital</w:t>
            </w:r>
          </w:p>
        </w:tc>
        <w:tc>
          <w:tcPr>
            <w:tcW w:type="dxa" w:w="5800"/>
          </w:tcPr>
          <w:p>
            <w:r>
              <w:t xml:space="preserve">P/E ~50, P/B high; debtor days ~341 (structural, African govt payment cycles)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134 - Rs 820 (roughly a 6x band)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and returns are genuinely strong (ROCE ~24.5%, FY26 revenue +33%, Uganda growing ~25% and now debt-free) and management guides to 350-400 operational beds by FY26 and ~1,000 beds within two years. Against that: the stock has already run roughly 6x in a year to a ~50x P/E; ~341 debtor days is a real working-capital drag; the India growth vehicle (UMC Hospitals Pvt Ltd) is only ~80-82% owned by the listed company with the remainder held by non-promoters including promoters personally; and a July 2026 share-swap took Victoria Hospital (Uganda) to ~99.81% owned, adding ~Rs 25.5 Cr EBITDA / ~Rs 21.75 Cr PAT.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134-820; the stock has re-rated ~6x and had an 85%-in-7-sessions burst per news, i.e. extremely extended.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55 posts (first-time read), spanning Jan 2025 to July 2026. Sentiment is constructive but genuinely two-sided: strong H1 FY26 results ('classic operating leverage'), detailed bull models toward 1,000 beds, Uganda debt-free and tax-free — versus a stretched valuation, ~341 debtor days, and a governance debate over the 80%-owned India subsidiary. One participant (drkshetty1, non-trusted) disclosed exiting into the rally, citing valuation and 'too many businesses.'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Three 'elevated'-tier roster users are active and constructive (no conviction floor applies): pranavpallod12 (multiple posts, 4-6 loves) frames the company at an inflection — Uganda moat funding India optionality, thesis 'could be very big or flat' — and says H1 FY26 'surpassed all expectations'; Satishwe (8 loves) built a detailed guidance-based model; niraj (5 loves) logged the July 2026 Victoria Hospital consolidation. Counterweights from non-trusted users: Mayank_Jham's math implies only ~35% EBITDA growth to FY28E (valuation stretched) and Agni's flag that the minority-owned India vehicle is a structural governance concern. No formal high-conviction BUY call from a very-high-tier user.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2026-07-05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2025-12-02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July 2026 share-swap raised Unihealth's stake in Victoria Hospital (Uganda) to ~99.81% (from ~50%), accretive by ~Rs 25.5 Cr EBITDA / ~Rs 21.75 Cr PAT. India expansion via UMC Hospitals Pvt Ltd, ~80-82% owned by the listed entity. Not independently re-verified beyond forum-linked disclosures.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high growth (FY26 revenue +33%) with strong returns (ROCE ~24.5%) and a mature, now debt-free, tax-advantaged Uganda 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named expansion pipeline: 350-400 beds by FY26, ~1,000 beds within two years, plus Tanzania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Victoria Hospital consolidation (July 2026) is immediately EBITDA/PAT accretive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'elevated'-tier roster users actively engaged and constructive on the operating trajectory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~6x in a year to a ~50x P/E — a lot of good news is priced in, and one community model implies only ~35% EBITDA growth to FY28E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NSE-SME listing: structurally thin liquidity for the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~341 debtor days is a real working-capital drag even if partly structural to African government payment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growth vehicle only ~80-82% owned by the listed company, with promoters holding a personal minority stake — a governance structure the community itself flags as a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Single-country revenue concentration (Uganda) and hard-to-verify African operations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Smallcap / SME-platform (~Rs 1,284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operating momentum and a credible bed-expansion pipeline keep a 10x case alive, but valuation, SME liquidity and the India-vehicle structure hold conviction to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+33%, ROCE ~24.5%, a debt-free Uganda core funding India optionality, and an accretive Victoria consolidation support a 10x-in-2-3-years framing on execution of the 1,000-bed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Low: a ~50x P/E after a ~6x run, NSE-SME liquidity, ~341 debtor days, and a minority-owned India subsidiary are unresolved risks — and the roster support, while genuine, is 'elevated' tier with no formal BUY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B; re-derived under the open-screen thesis it stays a 10x candidate but explicitly valuation-gated and unconfirmed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2026-08-28T15:39:42.073Z</dcterms:created>
  <dcterms:modified xsi:type="dcterms:W3CDTF">2026-08-28T15:39:42.073Z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