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Uniparts India Limited</w:t>
      </w:r>
    </w:p>
    <w:p>
      <w:pPr>
        <w:pBdr>
          <w:bottom w:val="single" w:color="CCCCCC" w:sz="6" w:space="8"/>
        </w:pBdr>
        <w:spacing w:after="200"/>
      </w:pPr>
      <w:r>
        <w:rPr>
          <w:i/>
          <w:iCs/>
          <w:color w:val="666666"/>
          <w:sz w:val="22"/>
          <w:szCs w:val="22"/>
        </w:rPr>
        <w:t xml:space="preserve">Well-managed, net-debt-free global maker of off-highway-vehicle linkage systems coming off an agriculture/construction downcycle - a cyclical recovery play with ~20% margins, not a structural multi-bagger</w:t>
      </w:r>
    </w:p>
    <w:p>
      <w:pPr>
        <w:pStyle w:val="Heading1"/>
        <w:spacing w:after="120" w:before="280"/>
      </w:pPr>
      <w:r>
        <w:t xml:space="preserve">Business Overview</w:t>
      </w:r>
    </w:p>
    <w:p>
      <w:pPr>
        <w:spacing w:after="120"/>
      </w:pPr>
      <w:r>
        <w:t xml:space="preserve">Uniparts India makes precision engineered components - primarily 3-point linkage systems (~17% global share in its segment) and precision machined parts (~6% global share) - plus adjacencies (power take-offs, hydraulic cylinders, fabricated assemblies) for off-highway vehicles: tractors, construction and forestry machinery. Most sales are to OEMs and aftermarket in the US and Europe, served just-in-time from a warehousing model backed by India-based manufacturing (a structural cost advantage). Customers include John Deere and Caterpillar. The business is deep in a cyclical trough (US large-ag and construction demand soft, dealer destocking) with management guiding a slow, Q4-weighted recovery and diversification into new product lines, Mexico near-shoring and new geographies.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3,649 Cr (small-cap)</w:t>
            </w:r>
          </w:p>
        </w:tc>
      </w:tr>
      <w:tr>
        <w:tc>
          <w:tcPr>
            <w:tcW w:type="dxa" w:w="3200"/>
            <w:shd w:fill="F2F2F2" w:val="clear"/>
          </w:tcPr>
          <w:p>
            <w:r>
              <w:rPr>
                <w:b/>
                <w:bCs/>
              </w:rPr>
              <w:t xml:space="preserve">ROCE / ROE</w:t>
            </w:r>
          </w:p>
        </w:tc>
        <w:tc>
          <w:tcPr>
            <w:tcW w:type="dxa" w:w="5800"/>
          </w:tcPr>
          <w:p>
            <w:r>
              <w:t xml:space="preserve">~21.6% / ~18.3%</w:t>
            </w:r>
          </w:p>
        </w:tc>
      </w:tr>
      <w:tr>
        <w:tc>
          <w:tcPr>
            <w:tcW w:type="dxa" w:w="3200"/>
            <w:shd w:fill="F2F2F2" w:val="clear"/>
          </w:tcPr>
          <w:p>
            <w:r>
              <w:rPr>
                <w:b/>
                <w:bCs/>
              </w:rPr>
              <w:t xml:space="preserve">Revenue growth</w:t>
            </w:r>
          </w:p>
        </w:tc>
        <w:tc>
          <w:tcPr>
            <w:tcW w:type="dxa" w:w="5800"/>
          </w:tcPr>
          <w:p>
            <w:r>
              <w:t xml:space="preserve">5-yr sales CAGR ~5.3% (cyclical trough); Q1 FY27 ~+27% YoY; FY27 guided slightly above FY26's ~21%</w:t>
            </w:r>
          </w:p>
        </w:tc>
      </w:tr>
      <w:tr>
        <w:tc>
          <w:tcPr>
            <w:tcW w:type="dxa" w:w="3200"/>
            <w:shd w:fill="F2F2F2" w:val="clear"/>
          </w:tcPr>
          <w:p>
            <w:r>
              <w:rPr>
                <w:b/>
                <w:bCs/>
              </w:rPr>
              <w:t xml:space="preserve">Valuation / payout</w:t>
            </w:r>
          </w:p>
        </w:tc>
        <w:tc>
          <w:tcPr>
            <w:tcW w:type="dxa" w:w="5800"/>
          </w:tcPr>
          <w:p>
            <w:r>
              <w:t xml:space="preserve">P/E ~19.9; dividend yield ~1.9-4.5% (quoted); net-debt-free</w:t>
            </w:r>
          </w:p>
        </w:tc>
      </w:tr>
      <w:tr>
        <w:tc>
          <w:tcPr>
            <w:tcW w:type="dxa" w:w="3200"/>
            <w:shd w:fill="F2F2F2" w:val="clear"/>
          </w:tcPr>
          <w:p>
            <w:r>
              <w:rPr>
                <w:b/>
                <w:bCs/>
              </w:rPr>
              <w:t xml:space="preserve">Margins</w:t>
            </w:r>
          </w:p>
        </w:tc>
        <w:tc>
          <w:tcPr>
            <w:tcW w:type="dxa" w:w="5800"/>
          </w:tcPr>
          <w:p>
            <w:r>
              <w:t xml:space="preserve">~20% EBITDA / ~14-15% PAT described by management as steady-state (2021 highs called abnormal)</w:t>
            </w:r>
          </w:p>
        </w:tc>
      </w:tr>
      <w:tr>
        <w:tc>
          <w:tcPr>
            <w:tcW w:type="dxa" w:w="3200"/>
            <w:shd w:fill="F2F2F2" w:val="clear"/>
          </w:tcPr>
          <w:p>
            <w:r>
              <w:rPr>
                <w:b/>
                <w:bCs/>
              </w:rPr>
              <w:t xml:space="preserve">52-week range</w:t>
            </w:r>
          </w:p>
        </w:tc>
        <w:tc>
          <w:tcPr>
            <w:tcW w:type="dxa" w:w="5800"/>
          </w:tcPr>
          <w:p>
            <w:r>
              <w:t xml:space="preserve">~Rs 392 - 845</w:t>
            </w:r>
          </w:p>
        </w:tc>
      </w:tr>
    </w:tbl>
    <w:p>
      <w:pPr>
        <w:spacing w:after="100"/>
      </w:pPr>
    </w:p>
    <w:p>
      <w:pPr>
        <w:spacing w:after="120"/>
      </w:pPr>
      <w:r>
        <w:t xml:space="preserve">Good-quality, conservatively run and net-debt-free, with ~21% ROCE and ~18% ROE through the cycle and a healthy dividend. The weak 5-year sales CAGR (~5%) reflects a genuine end-market downcycle rather than mismanagement; Q1 FY27 (+27% YoY) and management commentary suggest the trough is passing. But the demand driver is the US/EU agriculture and construction-equipment cycle, and the realistic outcome of a recovery is a return toward prior earnings, not a step-change.</w:t>
      </w:r>
    </w:p>
    <w:p>
      <w:pPr>
        <w:pStyle w:val="Heading1"/>
        <w:spacing w:after="120" w:before="280"/>
      </w:pPr>
      <w:r>
        <w:t xml:space="preserve">Technical Read (Weekly / Monthly MACD + Bollinger Bands, or RSI/CCI/Williams %R proxy)</w:t>
      </w:r>
    </w:p>
    <w:p>
      <w:pPr>
        <w:spacing w:after="120"/>
      </w:pPr>
      <w:r>
        <w:t xml:space="preserve">Not independently pulled. Stock near its 52-week high (~Rs 845) after basing around ~Rs 392; broadly tracks sentiment on the global ag/construction equipment cycle.</w:t>
      </w:r>
    </w:p>
    <w:p>
      <w:pPr>
        <w:pStyle w:val="Heading1"/>
        <w:spacing w:after="120" w:before="280"/>
      </w:pPr>
      <w:r>
        <w:t xml:space="preserve">ValuePickr Community Signal</w:t>
      </w:r>
    </w:p>
    <w:p>
      <w:pPr>
        <w:spacing w:after="120"/>
      </w:pPr>
      <w:r>
        <w:t xml:space="preserve">Read the full thread (21 posts of 24), Jun 2023 to Aug 2026. The thread is a careful, low-drama analysis of a cyclical. Bull points: unique India-manufacturing + developed-market warehousing model enabling fast JIT service, ~20% steady-state EBITDA margins, net-debt-free, ~4.5% dividend yield at ~15x PE at the lows, tariff-neutral (can supply from India or US), management with an 'under-commit, over-deliver' reputation and prudent capital allocation. Bear/caution points: the customer base (large US ag, construction) is more discretionary/cyclical than 'agriculture' implies; margins compressed post-IPO (employee costs a big swing factor); Abakkus and Sunil Singhania (2.3% portfolio position bought &gt;Rs 500) were seen reducing, which some linked to the de-rating. Most recent posts (May 2025 - Aug 2026): Q4 FY25/Q1 FY27 concall takeaways describe 'bottoming out of inventory', new divisions and geographies as the growth drivers with legacy business slow, and an explicit holder question about whether to 'exit after FY27 performance' given the cyclical nature.</w:t>
      </w:r>
    </w:p>
    <w:p>
      <w:pPr>
        <w:spacing w:after="120"/>
      </w:pPr>
      <w:r>
        <w:rPr>
          <w:b/>
          <w:bCs/>
          <w:sz w:val="20"/>
          <w:szCs w:val="20"/>
        </w:rPr>
        <w:t xml:space="preserve">High-conviction call from a top contributor: </w:t>
      </w:r>
      <w:r>
        <w:rPr>
          <w:sz w:val="20"/>
          <w:szCs w:val="20"/>
        </w:rPr>
        <w:t xml:space="preserve">No core-tier roster user. Elevated-tier Marathondreams posted only a link to an overview video. Most-loved posts (MANU_JINDAL 13, vaibhav242 10, hardik_sumariya 6, Pulak 4) are analytical overviews and concall notes - constructive on quality, cautious on the cycle; no fresh high-conviction buy call.</w:t>
      </w:r>
    </w:p>
    <w:p>
      <w:pPr>
        <w:pStyle w:val="Heading1"/>
        <w:spacing w:after="120" w:before="280"/>
      </w:pPr>
      <w:r>
        <w:t xml:space="preserve">BSE Corporate Actions / Other Red Flags</w:t>
      </w:r>
    </w:p>
    <w:p>
      <w:pPr>
        <w:spacing w:after="120"/>
      </w:pPr>
      <w:r>
        <w:t xml:space="preserve">Sunil Singhania / Abakkus reported reducing their position through 2024-25 (from a stake built above Rs 500). No adverse corporate actions flagged. Company confirmed the decline in reported rent expense is an Ind-AS lease-accounting effect, not an operational change.</w:t>
      </w:r>
    </w:p>
    <w:p>
      <w:pPr>
        <w:pStyle w:val="Heading1"/>
        <w:spacing w:after="120" w:before="280"/>
      </w:pPr>
      <w:r>
        <w:t xml:space="preserve">Bull Case</w:t>
      </w:r>
    </w:p>
    <w:p>
      <w:pPr>
        <w:pStyle w:val="ListParagraph"/>
        <w:numPr>
          <w:ilvl w:val="0"/>
          <w:numId w:val="1"/>
        </w:numPr>
        <w:spacing w:after="60"/>
      </w:pPr>
      <w:r>
        <w:t xml:space="preserve">~21% ROCE / ~18% ROE and ~20% EBITDA margins through the cycle; net-debt-free with a healthy dividend</w:t>
      </w:r>
    </w:p>
    <w:p>
      <w:pPr>
        <w:pStyle w:val="ListParagraph"/>
        <w:numPr>
          <w:ilvl w:val="0"/>
          <w:numId w:val="1"/>
        </w:numPr>
        <w:spacing w:after="60"/>
      </w:pPr>
      <w:r>
        <w:t xml:space="preserve">Structural cost edge: India manufacturing + developed-market warehousing for JIT OEM/aftermarket service; ~17% global share in 3-point linkage systems</w:t>
      </w:r>
    </w:p>
    <w:p>
      <w:pPr>
        <w:pStyle w:val="ListParagraph"/>
        <w:numPr>
          <w:ilvl w:val="0"/>
          <w:numId w:val="1"/>
        </w:numPr>
        <w:spacing w:after="60"/>
      </w:pPr>
      <w:r>
        <w:t xml:space="preserve">End-market cycle appears to be bottoming (Q1 FY27 +27% YoY; dealer destocking 'bottomed out'); new product lines, Mexico near-shoring and new geographies add incremental legs</w:t>
      </w:r>
    </w:p>
    <w:p>
      <w:pPr>
        <w:pStyle w:val="ListParagraph"/>
        <w:numPr>
          <w:ilvl w:val="0"/>
          <w:numId w:val="1"/>
        </w:numPr>
        <w:spacing w:after="60"/>
      </w:pPr>
      <w:r>
        <w:t xml:space="preserve">Tariff-neutral supply flexibility (India or US); respected, conservative management</w:t>
      </w:r>
    </w:p>
    <w:p>
      <w:pPr>
        <w:pStyle w:val="Heading1"/>
        <w:spacing w:after="120" w:before="280"/>
      </w:pPr>
      <w:r>
        <w:t xml:space="preserve">Bear Case / Key Risks</w:t>
      </w:r>
    </w:p>
    <w:p>
      <w:pPr>
        <w:pStyle w:val="ListParagraph"/>
        <w:numPr>
          <w:ilvl w:val="0"/>
          <w:numId w:val="1"/>
        </w:numPr>
        <w:spacing w:after="60"/>
      </w:pPr>
      <w:r>
        <w:t xml:space="preserve">Demand is tied to the discretionary, cyclical US/EU agriculture and construction-equipment cycle - outside the company's control and currently soft</w:t>
      </w:r>
    </w:p>
    <w:p>
      <w:pPr>
        <w:pStyle w:val="ListParagraph"/>
        <w:numPr>
          <w:ilvl w:val="0"/>
          <w:numId w:val="1"/>
        </w:numPr>
        <w:spacing w:after="60"/>
      </w:pPr>
      <w:r>
        <w:t xml:space="preserve">5-year sales CAGR only ~5%; a recovery most plausibly restores prior earnings rather than driving a step-change</w:t>
      </w:r>
    </w:p>
    <w:p>
      <w:pPr>
        <w:pStyle w:val="ListParagraph"/>
        <w:numPr>
          <w:ilvl w:val="0"/>
          <w:numId w:val="1"/>
        </w:numPr>
        <w:spacing w:after="60"/>
      </w:pPr>
      <w:r>
        <w:t xml:space="preserve">Margins compressed materially post-IPO; 2021 peak margins explicitly called abnormal by management</w:t>
      </w:r>
    </w:p>
    <w:p>
      <w:pPr>
        <w:pStyle w:val="ListParagraph"/>
        <w:numPr>
          <w:ilvl w:val="0"/>
          <w:numId w:val="1"/>
        </w:numPr>
        <w:spacing w:after="60"/>
      </w:pPr>
      <w:r>
        <w:t xml:space="preserve">Marquee investors (Abakkus/Singhania) were net sellers during the de-rating</w:t>
      </w:r>
    </w:p>
    <w:p>
      <w:pPr>
        <w:pStyle w:val="ListParagraph"/>
        <w:numPr>
          <w:ilvl w:val="0"/>
          <w:numId w:val="1"/>
        </w:numPr>
        <w:spacing w:after="60"/>
      </w:pPr>
      <w:r>
        <w:t xml:space="preserve">Even engaged holders in the thread are openly discussing an FY27 exit given the cyclicality</w:t>
      </w:r>
    </w:p>
    <w:p>
      <w:pPr>
        <w:pStyle w:val="Heading1"/>
        <w:spacing w:after="120" w:before="280"/>
      </w:pPr>
      <w:r>
        <w:t xml:space="preserve">Market-Cap Tier (informational — not a gate in this project)</w:t>
      </w:r>
    </w:p>
    <w:p>
      <w:pPr>
        <w:spacing w:after="120"/>
      </w:pPr>
      <w:r>
        <w:rPr>
          <w:b/>
          <w:bCs/>
        </w:rPr>
        <w:t xml:space="preserve">Small-cap (~Rs 3,649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Quality cyclical near a cycle bottom - a plausible 1.5-2x recovery play, but not a 10x-in-2-3-years or 100x-in-10-years structural compounder</w:t>
      </w:r>
    </w:p>
    <w:p>
      <w:pPr>
        <w:pStyle w:val="ListParagraph"/>
        <w:numPr>
          <w:ilvl w:val="0"/>
          <w:numId w:val="1"/>
        </w:numPr>
        <w:spacing w:after="60"/>
      </w:pPr>
      <w:r>
        <w:t xml:space="preserve">Quality gate is met (~21% ROCE, ~18% ROE, net cash) - the weak trailing growth is a cycle effect, and Q1 FY27 shows the recovery starting</w:t>
      </w:r>
    </w:p>
    <w:p>
      <w:pPr>
        <w:pStyle w:val="ListParagraph"/>
        <w:numPr>
          <w:ilvl w:val="0"/>
          <w:numId w:val="1"/>
        </w:numPr>
        <w:spacing w:after="60"/>
      </w:pPr>
      <w:r>
        <w:t xml:space="preserve">But the upside is cycle-recovery-shaped: management guides growth only modestly above FY26's ~21%, the driver is the external US/EU equipment cycle, and the thread's own participants frame it as a stock to potentially exit after FY27 - none of which supports the thesis's return bar</w:t>
      </w:r>
    </w:p>
    <w:p>
      <w:pPr>
        <w:pStyle w:val="ListParagraph"/>
        <w:numPr>
          <w:ilvl w:val="0"/>
          <w:numId w:val="1"/>
        </w:numPr>
        <w:spacing w:after="60"/>
      </w:pPr>
      <w:r>
        <w:t xml:space="preserve">Not in the old 108-stock project. Conviction LOW; thesis-fit 'neither'. Re-check only if a new product line or geography scales enough to de-link growth from the ag/construction cycle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2026-08-29T08:22:52.382Z</dcterms:created>
  <dcterms:modified xsi:type="dcterms:W3CDTF">2026-08-29T08:22:52.383Z</dcterms:modified>
</cp:coreProperties>
</file>

<file path=docProps/custom.xml><?xml version="1.0" encoding="utf-8"?>
<Properties xmlns="http://schemas.openxmlformats.org/officeDocument/2006/custom-properties" xmlns:vt="http://schemas.openxmlformats.org/officeDocument/2006/docPropsVTypes"/>
</file>