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Updater Services Ltd</w:t>
      </w:r>
    </w:p>
    <w:p>
      <w:pPr>
        <w:pBdr>
          <w:bottom w:val="single" w:color="CCCCCC" w:sz="6" w:space="8"/>
        </w:pBdr>
        <w:spacing w:after="200"/>
      </w:pPr>
      <w:r>
        <w:rPr>
          <w:i/>
          <w:iCs/>
          <w:color w:val="666666"/>
          <w:sz w:val="22"/>
          <w:szCs w:val="22"/>
        </w:rPr>
        <w:t xml:space="preserve">Facilities-management/BSS outsourcer with a live SIS stake-building catalyst, but a community-flagged pattern of unexplained 'red flags since 2021' and weak ROE</w:t>
      </w:r>
    </w:p>
    <w:p>
      <w:pPr>
        <w:pStyle w:val="Heading1"/>
        <w:spacing w:after="120" w:before="280"/>
      </w:pPr>
      <w:r>
        <w:t xml:space="preserve">Business Overview</w:t>
      </w:r>
    </w:p>
    <w:p>
      <w:pPr>
        <w:spacing w:after="120"/>
      </w:pPr>
      <w:r>
        <w:t xml:space="preserve">Facility management (security, housekeeping, payroll) plus Business Support Services (Denave sales-outsourcing/lead-gen, background checks) for large enterprises across industrial, real estate, BFSI, IT/ITES and other sectors.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1,444 Cr</w:t>
            </w:r>
          </w:p>
        </w:tc>
      </w:tr>
      <w:tr>
        <w:tc>
          <w:tcPr>
            <w:tcW w:type="dxa" w:w="3200"/>
            <w:shd w:fill="F2F2F2" w:val="clear"/>
          </w:tcPr>
          <w:p>
            <w:r>
              <w:rPr>
                <w:b/>
                <w:bCs/>
              </w:rPr>
              <w:t xml:space="preserve">ROE</w:t>
            </w:r>
          </w:p>
        </w:tc>
        <w:tc>
          <w:tcPr>
            <w:tcW w:type="dxa" w:w="5800"/>
          </w:tcPr>
          <w:p>
            <w:r>
              <w:t xml:space="preserve">10.9% (3yr average, weak)</w:t>
            </w:r>
          </w:p>
        </w:tc>
      </w:tr>
      <w:tr>
        <w:tc>
          <w:tcPr>
            <w:tcW w:type="dxa" w:w="3200"/>
            <w:shd w:fill="F2F2F2" w:val="clear"/>
          </w:tcPr>
          <w:p>
            <w:r>
              <w:rPr>
                <w:b/>
                <w:bCs/>
              </w:rPr>
              <w:t xml:space="preserve">Debt</w:t>
            </w:r>
          </w:p>
        </w:tc>
        <w:tc>
          <w:tcPr>
            <w:tcW w:type="dxa" w:w="5800"/>
          </w:tcPr>
          <w:p>
            <w:r>
              <w:t xml:space="preserve">Almost debt-free</w:t>
            </w:r>
          </w:p>
        </w:tc>
      </w:tr>
    </w:tbl>
    <w:p>
      <w:pPr>
        <w:spacing w:after="100"/>
      </w:pPr>
    </w:p>
    <w:p>
      <w:pPr>
        <w:spacing w:after="120"/>
      </w:pPr>
      <w:r>
        <w:t xml:space="preserve">Weak 3yr ROE (10.9%) that is below this screen's quality bar, despite a diversified, sticky-client business model.</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full thread (26 of 29 posts, May 2025 to June 2026 - a small, young thread) start to finish.</w:t>
      </w:r>
    </w:p>
    <w:p>
      <w:pPr>
        <w:spacing w:after="120"/>
      </w:pPr>
      <w:r>
        <w:rPr>
          <w:b/>
          <w:bCs/>
          <w:sz w:val="20"/>
          <w:szCs w:val="20"/>
        </w:rPr>
        <w:t xml:space="preserve">High-conviction call from a top contributor: </w:t>
      </w:r>
      <w:r>
        <w:rPr>
          <w:sz w:val="20"/>
          <w:szCs w:val="20"/>
        </w:rPr>
        <w:t xml:space="preserve">k3311 (15 loves) laid out a detailed dual-engine (IFM+BSS) thesis citing 95% client retention and a tech-led (GenAI/IntelliBank) moat in the BSS segment. drjpatwa (trusted) has been the most consistent bull, framing UDS as 'a proxy to India's growth' at a reasonable 15x PE for 15%+ topline/bottomline growth - but by Oct 2025 he himself acknowledged the BSS segment (IT-services-exposed) was struggling alongside the broader IT slowdown, and that IFM growth (~12%) was notably lagging listed peer Krystal Integrated Services' ~30%. Most pointed: Ajitesh_Garg (7 loves, Jan 2026) stated plainly 'I don't trust the management. There are constant red flags every year since 2021' while still arguing the core IFM business is statistically cheap (~9-10x ex-Denave/Athena) - drjpatwa's reply ('I ignore those red flags &amp; pay the price for it!!') is a tacit acknowledgment rather than a rebuttal. A fresh, concrete positive: listed peer SIS Ltd acquired ~4% of UDS (per 37-Vansh_Saini-A, June 2026), with speculation of a future open offer given overlapping business lines.</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SIS Ltd (a listed peer with cash on its books) has taken a ~4% stake, raising real speculation of consolidation/open-offer, per the community</w:t>
      </w:r>
    </w:p>
    <w:p>
      <w:pPr>
        <w:pStyle w:val="ListParagraph"/>
        <w:numPr>
          <w:ilvl w:val="0"/>
          <w:numId w:val="1"/>
        </w:numPr>
        <w:spacing w:after="60"/>
      </w:pPr>
      <w:r>
        <w:t xml:space="preserve">Promoter (Raghunandana Tangirala) has been consistently buying shares on-market, alongside rising mutual fund interest (Bandhan Small Cap)</w:t>
      </w:r>
    </w:p>
    <w:p>
      <w:pPr>
        <w:pStyle w:val="ListParagraph"/>
        <w:numPr>
          <w:ilvl w:val="0"/>
          <w:numId w:val="1"/>
        </w:numPr>
        <w:spacing w:after="60"/>
      </w:pPr>
      <w:r>
        <w:t xml:space="preserve">Q4FY26 results suggest the BSS segment is stabilizing after a rough FY26 tied to the broader IT slowdown</w:t>
      </w:r>
    </w:p>
    <w:p>
      <w:pPr>
        <w:pStyle w:val="ListParagraph"/>
        <w:numPr>
          <w:ilvl w:val="0"/>
          <w:numId w:val="1"/>
        </w:numPr>
        <w:spacing w:after="60"/>
      </w:pPr>
      <w:r>
        <w:t xml:space="preserve">Statistically cheap on an ex-Denave/Athena basis per community math (~9-10x core IFM earnings)</w:t>
      </w:r>
    </w:p>
    <w:p>
      <w:pPr>
        <w:pStyle w:val="Heading1"/>
        <w:spacing w:after="120" w:before="280"/>
      </w:pPr>
      <w:r>
        <w:t xml:space="preserve">Bear Case / Key Risks</w:t>
      </w:r>
    </w:p>
    <w:p>
      <w:pPr>
        <w:pStyle w:val="ListParagraph"/>
        <w:numPr>
          <w:ilvl w:val="0"/>
          <w:numId w:val="1"/>
        </w:numPr>
        <w:spacing w:after="60"/>
      </w:pPr>
      <w:r>
        <w:t xml:space="preserve">ROE of just 10.9% (3yr) fails this screen's quality bar</w:t>
      </w:r>
    </w:p>
    <w:p>
      <w:pPr>
        <w:pStyle w:val="ListParagraph"/>
        <w:numPr>
          <w:ilvl w:val="0"/>
          <w:numId w:val="1"/>
        </w:numPr>
        <w:spacing w:after="60"/>
      </w:pPr>
      <w:r>
        <w:t xml:space="preserve">A specific and repeated community concern that management credibility has 'constant red flags every year since 2021' - vague in specifics within this thread but voiced by a well-received (7-love) post and tacitly accepted by the thread's most consistent bull, unrebutted</w:t>
      </w:r>
    </w:p>
    <w:p>
      <w:pPr>
        <w:pStyle w:val="ListParagraph"/>
        <w:numPr>
          <w:ilvl w:val="0"/>
          <w:numId w:val="1"/>
        </w:numPr>
        <w:spacing w:after="60"/>
      </w:pPr>
      <w:r>
        <w:t xml:space="preserve">IFM segment growth (~12%) is meaningfully lagging listed peer Krystal Integrated Services (~30%)</w:t>
      </w:r>
    </w:p>
    <w:p>
      <w:pPr>
        <w:pStyle w:val="ListParagraph"/>
        <w:numPr>
          <w:ilvl w:val="0"/>
          <w:numId w:val="1"/>
        </w:numPr>
        <w:spacing w:after="60"/>
      </w:pPr>
      <w:r>
        <w:t xml:space="preserve">BSS segment (Denave/Athena) is directly exposed to AI-driven disruption of the IT services clients it serves, per multiple posters</w:t>
      </w:r>
    </w:p>
    <w:p>
      <w:pPr>
        <w:pStyle w:val="Heading1"/>
        <w:spacing w:after="120" w:before="280"/>
      </w:pPr>
      <w:r>
        <w:t xml:space="preserve">Market-Cap Tier (informational — not a gate in this project)</w:t>
      </w:r>
    </w:p>
    <w:p>
      <w:pPr>
        <w:spacing w:after="120"/>
      </w:pPr>
      <w:r>
        <w:rPr>
          <w:b/>
          <w:bCs/>
        </w:rPr>
        <w:t xml:space="preserve">Small-cap (~Rs 1,444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live SIS-stake consolidation catalyst is real, but weak ROE and an unrebutted community management-trust concern keep this out of high-conviction territory</w:t>
      </w:r>
    </w:p>
    <w:p>
      <w:pPr>
        <w:pStyle w:val="ListParagraph"/>
        <w:numPr>
          <w:ilvl w:val="0"/>
          <w:numId w:val="1"/>
        </w:numPr>
        <w:spacing w:after="60"/>
      </w:pPr>
      <w:r>
        <w:t xml:space="preserve">The SIS stake-building is a genuine, dated catalyst worth tracking, not speculation</w:t>
      </w:r>
    </w:p>
    <w:p>
      <w:pPr>
        <w:pStyle w:val="ListParagraph"/>
        <w:numPr>
          <w:ilvl w:val="0"/>
          <w:numId w:val="1"/>
        </w:numPr>
        <w:spacing w:after="60"/>
      </w:pPr>
      <w:r>
        <w:t xml:space="preserve">But a repeated, specific management-trust concern from a well-received community post, tacitly accepted rather than rebutted by the thread's own bull, is a real caution flag</w:t>
      </w:r>
    </w:p>
    <w:p>
      <w:pPr>
        <w:pStyle w:val="ListParagraph"/>
        <w:numPr>
          <w:ilvl w:val="0"/>
          <w:numId w:val="1"/>
        </w:numPr>
        <w:spacing w:after="60"/>
      </w:pPr>
      <w:r>
        <w:t xml:space="preserve">Weak ROE and IFM growth lagging the direct listed peer further weaken the case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2026-08-23T15:39:06.995Z</dcterms:created>
  <dcterms:modified xsi:type="dcterms:W3CDTF">2026-08-23T15:39:06.996Z</dcterms:modified>
</cp:coreProperties>
</file>

<file path=docProps/custom.xml><?xml version="1.0" encoding="utf-8"?>
<Properties xmlns="http://schemas.openxmlformats.org/officeDocument/2006/custom-properties" xmlns:vt="http://schemas.openxmlformats.org/officeDocument/2006/docPropsVTypes"/>
</file>