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V-Guard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Well-run, near-debt-free consumer-electricals major (stabilisers #1, water heaters / pumps / solar top-3, plus wiring, fans, kitchen via Sunflame) -- a strong Q1 FY27 (revenue +23%, PAT +77%, CFO Rs 475 Cr) after a soft FY26; a quality large-cap compounder in an increasingly crowded, low-differentiation market, with no near-term multi-bagger catalyst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V-Guard makes voltage stabilisers (India #1), water heaters, pumps, solar rooftop systems, house wiring, fans and, via Sunflame, kitchen appliances. ~97-98% B2C. Emerging bets: solar pumps, modular switches, LED lighting (launched Q1 FY27), and non-lithium battery chemistry / residential BESS via a 30.35% stake in Gegadyne (commercialisation targeted FY27).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14,450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~17.0% / ~13.8%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~Rs 5,965 Cr (+7%); EBITDA ~Rs 526 Cr (8.8% margin, +3%); PAT ~Rs 308 Cr (flat; ~Rs 22 Cr one-time labour-code hit)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1,810 Cr (+23%); EBITDA Rs 190 Cr (10.5% margin, +54%); PAT Rs 130 Cr (+77%); CFO Rs 475 Cr; cash Rs 670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Segment margins (Q1 FY27)</w:t>
            </w:r>
          </w:p>
        </w:tc>
        <w:tc>
          <w:tcPr>
            <w:tcW w:type="dxa" w:w="5800"/>
          </w:tcPr>
          <w:p>
            <w:r>
              <w:t xml:space="preserve">Electronics ~19.8%, Electricals ~10.5%, Consumer durables ~3.6%, Sunflame ~4%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Almost debt-free; healthy dividend payout ~22%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P/B ~5.8 -- near the low end of its own historical range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V-Guard is a genuinely good operator: ~16% long-run revenue CAGR (ahead of the industry median), near-zero debt, strong Q1 FY27 with a sharp working-capital release (CFO Rs 475 Cr). But FY26 growth was only ~7% with flat PAT, the business now spans almost every consumer-electrical vertical against intense competition and limited product differentiation, and one long-time observer frames it as possibly in a 'maturity phase' -- V-Guard grew ~50% a year in 2012 and the market priced it accordingly; that growth rate is long gone. The emerging categories (modular switches, LED, Gegadyne BESS) are real optionality but not a step-change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52-week range ~Rs 289-394; P/B near the bottom of its historical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of 101 posts; recent activity thin (4 posts since mid-2024). ranvir (trusted, elevated) posts the quarterly concall summaries -- factual, no conviction call; notes the strong Q1 FY27 and the sharp CFO/working-capital improvement. shyamutty (trusted) frames the key debate: P/B near historical lows but can a company that has entered every vertical, faces peak competition and no differentiation still grow -- has it hit maturity? Concludes 'for the short term it looks like a good bet'. No trusted high-conviction 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coverage is factual/quarterly with no buy conviction; the main trusted comment explicitly questions whether growth has matured. Net: neutral. No conviction floor.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2026-08-02 — shyamutty</w:t>
      </w:r>
      <w:r>
        <w:rPr>
          <w:i/>
          <w:iCs/>
          <w:color w:val="666666"/>
          <w:sz w:val="18"/>
          <w:szCs w:val="18"/>
        </w:rPr>
        <w:t xml:space="preserve"> (V-guard - The passion of our early years and our quest for excellence)</w:t>
      </w:r>
      <w:r>
        <w:rPr>
          <w:sz w:val="20"/>
          <w:szCs w:val="20"/>
        </w:rPr>
        <w:br/>
        <w:t xml:space="preserve">: Mixed -- P/B ~5.8 near historical low, but company has entered nearly all verticals amid peak competition and no differentiation; possibly a maturity phase; 'for the short term it looks like a good bet'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2026-08-01 — ranvir</w:t>
      </w:r>
      <w:r>
        <w:rPr>
          <w:i/>
          <w:iCs/>
          <w:color w:val="666666"/>
          <w:sz w:val="18"/>
          <w:szCs w:val="18"/>
        </w:rPr>
        <w:t xml:space="preserve"> (V-guard - The passion of our early years and our quest for excellence)</w:t>
      </w:r>
      <w:r>
        <w:rPr>
          <w:sz w:val="20"/>
          <w:szCs w:val="20"/>
        </w:rPr>
        <w:br/>
        <w:t xml:space="preserve">: Neutral quarterly update -- Q1 FY27 revenue +23%, PAT +77%, CFO Rs 475 Cr (big working-capital release); 18% share in domestic solar rooftop + inverter + battery installs; no conviction call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flags. Clean balance sheet, consistent dividend, professional management.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High-quality, near-debt-free consumer-electricals franchise; ~16% long-run revenue CAGR ahead of 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Q1 FY27 (revenue +23%, PAT +77%) with a large working-capital release (CFO Rs 475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#1 in stabilisers, top-3 in several categories; ~18% share in domestic solar rooftop+inverter+battery installs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P/B near the low end of its historical range; optionality in modular switches, LED, Gegadyne BESS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14,500 Cr) with ~14% ROE and only ~7% FY26 revenue growth -- no multi-bagger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Competes in nearly every consumer-electrical vertical with limited differentiation; competition at its peak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Possible 'maturity phase' -- the ~50%/yr growth era is long past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Consumer-durables and Sunflame segments run low-single-digit margins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14,450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quality large-cap consumer compounder with a strong Q1 but no step-change catalyst and a maturing growth profile -- thesis_fit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large-cap rule this defaults to 'neither' absent a specific named management/structural inflection; the strong Q1 FY27 and the emerging categories are cyclical/optionality, not a named inflection.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filtered on quality -- the business and balance sheet are good -- it simply doesn't fit the 10x/100x thesis.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no live-theme keyword hit in discovery (recency discovery). Note: the Gegadyne stake gives loose exposure to the EV-ecosystem / battery theme, but it is a minority stake with FY27 commercialisation still pending.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only if a single new category (e.g. BESS via Gegadyne) scales to a material revenue share with a clear margin profile.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2026-08-30T17:57:33.614Z</dcterms:created>
  <dcterms:modified xsi:type="dcterms:W3CDTF">2026-08-30T17:57:33.618Z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