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V-Marc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EXCLUDED - confirmed SEBI enforcement action for fraudulent stock-price manipulation by the promoter/MD and connected entities (re-verified 2026-09-02, exclusion stands)</w:t>
      </w:r>
    </w:p>
    <w:p>
      <w:pPr>
        <w:shd w:fill="FFF0F0" w:val="clear"/>
        <w:spacing w:after="200"/>
      </w:pPr>
      <w:r>
        <w:rPr>
          <w:b/>
          <w:bCs/>
          <w:color w:val="6B2020"/>
          <w:sz w:val="22"/>
          <w:szCs w:val="22"/>
        </w:rPr>
        <w:t xml:space="preserve">RED FLAG TIER: EXCLUDE — </w:t>
      </w:r>
      <w:r>
        <w:rPr>
          <w:sz w:val="20"/>
          <w:szCs w:val="20"/>
        </w:rPr>
        <w:t xml:space="preserve">Confirmed SEBI order (interim Feb 2024; confirmatory 26-Jul-2024, with modifications) against 12 entities including V-Marc's promoter/MD Vikas Garg and former Whole Time Director Sandeep Kumar Srivastava for fraudulent, manipulative trading in the company's own scrip (illegal gains of ~Rs 6.30 Cr impounded, entities banned from the securities market). Re-verified 2026-09-02: no reversal found; order stands.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V-Marc manufactures PVC insulated wires &amp; cables (NSE Emerge/SME listing, Apr 2024; XLPE/PVC cables, aluminium/copper conductors, largely to state DISCOMs / power utilities out of Uttarakhand). Headline fundamentals are exceptional (ROCE/ROE ~41%, 5yr profit CAGR ~76%, median 10yr sales growth ~37%), and Q1FY27 was a large beat (revenue from operations +102% YoY, PAT +163% YoY to ~Rs 28.5 Cr). None of this is decisive because the investment case is overridden by a confirmed regulatory finding below.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5,260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41.3% / 41.3%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5yr profit CAGR ~76%; 10yr median sales growth ~37%; Q1FY27 revenue +102%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~0.92x - still elevated for the sector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70.00 - Rs 380.95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Fundamentals look exceptional on the surface, but SEBI confirmed an order (interim Feb 2024; confirmatory order 26-Jul-2024, with modifications) against 12 entities - including V-Marc's own promoter/Managing Director Vikas Garg and former Whole Time Director Sandeep Kumar Srivastava - for fraudulent, manipulative trading in the company's own scrip, orchestrated with a market operator (Prijesh Kurani) using connected trading accounts. SEBI impounded ~Rs 6.30 Cr of illegal gains and banned the 12 entities from the securities market. Vikas Garg's SAT appeal was against the interim order; SAT directed SEBI to pass a reasoned order, which SEBI did (the confirmatory order). RE-VERIFICATION (2026-09-02): triggered by a Sovrenn Discovery cross-check flagging the Q1FY27 beat (+102% revenue / +163% PAT YoY). A single strong quarter does not touch a confirmed SEBI fraud finding against the sitting promoter/MD. One WebSearch found no 2026 development vacating or overturning the 26-Jul-2024 confirmatory order - it stands. Exclusion rationale is unchanged.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excluded before Step 4 deep dive (red-flag rule: EXCLUDE skips Step 4).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new forum activity assessed this pass; the exclusion is a red-flag call that the deep read cannot override. A short (7-post) ValuePickr thread (Jan-Jul 2026) had earlier raised this independently: one detailed post (Mar 2026) explicitly cited "SEBI's probe" as a reason management credibility cannot be taken at face value, alongside separate governance yellow flags (3 CFO resignations in 3 years, an unusually low-paid VP given seniority, auditor fees well below peer norms) and a valuation caution.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has engaged substantively on the investment case. Original trusted-thread signal (vikas_sinha, The Anti-Portfolio, post #824, 2026-08-17: sold KPI Green, bought V-Marc, citing voluntary quarterly reporting and a planned ~Rs 800 Cr fund raise) is noted but does not lift an EXCLUDE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SEBI confirmed order (interim Feb 2024; confirmatory 26-Jul-2024, upheld with modifications) against 12 entities including the company's promoter/MD and a former Whole Time Director for fraudulent stock-price manipulation; ~Rs 6.30 Cr illegal gains impounded; entities banned from the securities market. No later reversal found as of 2026-09-02.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SEBI enforcement action for fraudulent stock manipulation directly implicating the company's promoter/MD and a former Whole Time Director - a company-management-level finding, not a peripheral or unrelated-party issue - and still standing as of 2026-09-02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governance yellow flags independently noted by the community (frequent CFO turnover, below-market auditor fees, an unusually low-paid senior executive) compound rather than offset the SEBI finding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leverage (D/E ~0.92x) for a sector where peers typically run lower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very strong Q1FY27 print (+102% revenue / +163% PAT YoY) does not change the governance verdict and, given the manipulation history, invites scrutiny rather than confidence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5,260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Exclusion re-verified and unchanged - a confirmed SEBI finding of promoter/management-level stock-price manipulation overrides otherwise strong (and now accelerating) headline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prompted by the Q1FY27 beat (Sovrenn Discovery cross-check). Per this project's ground rules, a confirmed active SEBI enforcement action against company management triggers an automatic EXCLUDE, regardless of any trusted-thread signal or fundamental quality, and is never overridden by a strong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WebSearch confirmed the 26-Jul-2024 SEBI confirmatory order still stands with no 2026 reversal; the specific finding - fraudulent trading in the company's own scrip involving the promoter/MD - goes to the heart of management integrity, which no fundamental metric can offset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conviction_needs_reverification cleared; status, red_flag_tier (EXCLUDE), thesis_fit (neither) and conviction (Low) all unchanged from the prior write-up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2026-09-02T12:41:41.744Z</dcterms:created>
  <dcterms:modified xsi:type="dcterms:W3CDTF">2026-09-02T12:41:41.749Z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