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VST Tillers Tractors Ltd</w:t>
      </w:r>
    </w:p>
    <w:p>
      <w:pPr>
        <w:pBdr>
          <w:bottom w:val="single" w:color="CCCCCC" w:sz="6" w:space="8"/>
        </w:pBdr>
        <w:spacing w:after="200"/>
      </w:pPr>
      <w:r>
        <w:rPr>
          <w:i/>
          <w:iCs/>
          <w:color w:val="666666"/>
          <w:sz w:val="22"/>
          <w:szCs w:val="22"/>
        </w:rPr>
        <w:t xml:space="preserve">Market-leading power-tiller/tractor maker with a multi-year pattern of missed growth guidance, despite fresh community interest today</w:t>
      </w:r>
    </w:p>
    <w:p>
      <w:pPr>
        <w:pStyle w:val="Heading1"/>
        <w:spacing w:after="120" w:before="280"/>
      </w:pPr>
      <w:r>
        <w:t xml:space="preserve">Business Overview</w:t>
      </w:r>
    </w:p>
    <w:p>
      <w:pPr>
        <w:spacing w:after="120"/>
      </w:pPr>
      <w:r>
        <w:t xml:space="preserve">VST Tillers manufactures power tillers (India's #1 brand, ~55% market share) and compact tractors, with a technical partnership with Monarch Tractors (US) and a newer precision-manufacturing division.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3,816 Cr</w:t>
            </w:r>
          </w:p>
        </w:tc>
      </w:tr>
      <w:tr>
        <w:tc>
          <w:tcPr>
            <w:tcW w:type="dxa" w:w="3200"/>
            <w:shd w:fill="F2F2F2" w:val="clear"/>
          </w:tcPr>
          <w:p>
            <w:r>
              <w:rPr>
                <w:b/>
                <w:bCs/>
              </w:rPr>
              <w:t xml:space="preserve">ROE</w:t>
            </w:r>
          </w:p>
        </w:tc>
        <w:tc>
          <w:tcPr>
            <w:tcW w:type="dxa" w:w="5800"/>
          </w:tcPr>
          <w:p>
            <w:r>
              <w:t xml:space="preserve">Low, 11.0% over last 3 years</w:t>
            </w:r>
          </w:p>
        </w:tc>
      </w:tr>
      <w:tr>
        <w:tc>
          <w:tcPr>
            <w:tcW w:type="dxa" w:w="3200"/>
            <w:shd w:fill="F2F2F2" w:val="clear"/>
          </w:tcPr>
          <w:p>
            <w:r>
              <w:rPr>
                <w:b/>
                <w:bCs/>
              </w:rPr>
              <w:t xml:space="preserve">Revenue growth</w:t>
            </w:r>
          </w:p>
        </w:tc>
        <w:tc>
          <w:tcPr>
            <w:tcW w:type="dxa" w:w="5800"/>
          </w:tcPr>
          <w:p>
            <w:r>
              <w:t xml:space="preserve">Poor 10.2% over past 5 years; Q1 FY27 revenue +11% YoY</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4,275 - 6,374</w:t>
            </w:r>
          </w:p>
        </w:tc>
      </w:tr>
    </w:tbl>
    <w:p>
      <w:pPr>
        <w:spacing w:after="100"/>
      </w:pPr>
    </w:p>
    <w:p>
      <w:pPr>
        <w:spacing w:after="120"/>
      </w:pPr>
      <w:r>
        <w:t xml:space="preserve">Debt-free with a leading market position, but growth has been persistently below management's own targets for years, and current ROE (11%) is modest rather than exceptional.</w:t>
      </w:r>
    </w:p>
    <w:p>
      <w:pPr>
        <w:pStyle w:val="Heading1"/>
        <w:spacing w:after="120" w:before="280"/>
      </w:pPr>
      <w:r>
        <w:t xml:space="preserve">Technical Read (Weekly / Monthly MACD + Bollinger Bands, or RSI/CCI/Williams %R proxy)</w:t>
      </w:r>
    </w:p>
    <w:p>
      <w:pPr>
        <w:spacing w:after="120"/>
      </w:pPr>
      <w:r>
        <w:t xml:space="preserve">Not independently pulled this pass — a non-trusted poster (AKGupta, Aug 2025) noted the stock chart wasn't falling despite a weak-market backdrop.</w:t>
      </w:r>
    </w:p>
    <w:p>
      <w:pPr>
        <w:pStyle w:val="Heading1"/>
        <w:spacing w:after="120" w:before="280"/>
      </w:pPr>
      <w:r>
        <w:t xml:space="preserve">ValuePickr Community Signal</w:t>
      </w:r>
    </w:p>
    <w:p>
      <w:pPr>
        <w:spacing w:after="120"/>
      </w:pPr>
      <w:r>
        <w:t xml:space="preserve">Read the most recent 50 of 294 posts (2019-2026, single batch — the thread's own most recent post is from today, 2026-08-24, so escalation wasn't needed to reach current sentiment). A consistent multi-year pattern emerges: ambitious revenue targets (Rs 3,000 Cr by FY25, from a Rs 763 Cr FY21 base) have been repeatedly pushed out (now FY27) without being achieved, even as the underlying tiller/tractor business itself has performed reasonably.</w:t>
      </w:r>
    </w:p>
    <w:p>
      <w:pPr>
        <w:spacing w:after="120"/>
      </w:pPr>
      <w:r>
        <w:rPr>
          <w:b/>
          <w:bCs/>
          <w:sz w:val="20"/>
          <w:szCs w:val="20"/>
        </w:rPr>
        <w:t xml:space="preserve">High-conviction call from a top contributor: </w:t>
      </w:r>
      <w:r>
        <w:rPr>
          <w:sz w:val="20"/>
          <w:szCs w:val="20"/>
        </w:rPr>
        <w:t xml:space="preserve">Chandragupta (trusted) flagged capital allocation as 'a sore thumb' back in 2021 despite otherwise-good operational execution. A non-trusted poster (AKGupta, Aug 2025) directly challenged management's guidance credibility: 'Back till 2022 also, sales target of 3000 crores is mentioned in this thread... In the meantime, actual sales for FY25 is flattish at 1000 crores. Is the mgmt. of this company trustworthy when it comes to guidance?' Most notably, today (2026-08-24) a community member (Ruchit_Shah) presented VST Tillers to the ValuePickr Mumbai group, generating a fresh live discussion — but the presentation's actual content wasn't captured in the posts read, only that it happened.</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Debt-free market leader (~55% power-tiller share) with a technical partnership tied to Monarch Tractors' US commercial rollout</w:t>
      </w:r>
    </w:p>
    <w:p>
      <w:pPr>
        <w:pStyle w:val="ListParagraph"/>
        <w:numPr>
          <w:ilvl w:val="0"/>
          <w:numId w:val="1"/>
        </w:numPr>
        <w:spacing w:after="60"/>
      </w:pPr>
      <w:r>
        <w:t xml:space="preserve">Fresh community engagement as of today (2026-08-24) via a formal presentation to the ValuePickr Mumbai group</w:t>
      </w:r>
    </w:p>
    <w:p>
      <w:pPr>
        <w:pStyle w:val="ListParagraph"/>
        <w:numPr>
          <w:ilvl w:val="0"/>
          <w:numId w:val="1"/>
        </w:numPr>
        <w:spacing w:after="60"/>
      </w:pPr>
      <w:r>
        <w:t xml:space="preserve">Q1 FY27 revenue growth of 11% YoY shows the business is not stagnant</w:t>
      </w:r>
    </w:p>
    <w:p>
      <w:pPr>
        <w:pStyle w:val="Heading1"/>
        <w:spacing w:after="120" w:before="280"/>
      </w:pPr>
      <w:r>
        <w:t xml:space="preserve">Bear Case / Key Risks</w:t>
      </w:r>
    </w:p>
    <w:p>
      <w:pPr>
        <w:pStyle w:val="ListParagraph"/>
        <w:numPr>
          <w:ilvl w:val="0"/>
          <w:numId w:val="1"/>
        </w:numPr>
        <w:spacing w:after="60"/>
      </w:pPr>
      <w:r>
        <w:t xml:space="preserve">A multi-year, repeated pattern of missed revenue guidance: the Rs 3,000 Cr target first flagged for FY25 has been pushed to FY27 with actual FY25 sales still flattish around Rs 1,000 Cr — a real credibility concern directly raised by the community, not resolved as of this pass</w:t>
      </w:r>
    </w:p>
    <w:p>
      <w:pPr>
        <w:pStyle w:val="ListParagraph"/>
        <w:numPr>
          <w:ilvl w:val="0"/>
          <w:numId w:val="1"/>
        </w:numPr>
        <w:spacing w:after="60"/>
      </w:pPr>
      <w:r>
        <w:t xml:space="preserve">Capital allocation flagged as a specific weak point by a trusted user historically</w:t>
      </w:r>
    </w:p>
    <w:p>
      <w:pPr>
        <w:pStyle w:val="ListParagraph"/>
        <w:numPr>
          <w:ilvl w:val="0"/>
          <w:numId w:val="1"/>
        </w:numPr>
        <w:spacing w:after="60"/>
      </w:pPr>
      <w:r>
        <w:t xml:space="preserve">5-year revenue growth (10.2%) and 3-year ROE (11%) are both described as 'poor'/'low' by screener — modest rather than standout fundamentals</w:t>
      </w:r>
    </w:p>
    <w:p>
      <w:pPr>
        <w:pStyle w:val="Heading1"/>
        <w:spacing w:after="120" w:before="280"/>
      </w:pPr>
      <w:r>
        <w:t xml:space="preserve">Market-Cap Tier (informational — not a gate in this project)</w:t>
      </w:r>
    </w:p>
    <w:p>
      <w:pPr>
        <w:spacing w:after="120"/>
      </w:pPr>
      <w:r>
        <w:rPr>
          <w:b/>
          <w:bCs/>
        </w:rPr>
        <w:t xml:space="preserve">Mid-cap (~Rs 3,816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Solid market leader, but a credible, repeated pattern of guidance misses keeps this from clearing a high-conviction bar</w:t>
      </w:r>
    </w:p>
    <w:p>
      <w:pPr>
        <w:pStyle w:val="ListParagraph"/>
        <w:numPr>
          <w:ilvl w:val="0"/>
          <w:numId w:val="1"/>
        </w:numPr>
        <w:spacing w:after="60"/>
      </w:pPr>
      <w:r>
        <w:t xml:space="preserve">The underlying business (market leadership, debt-free balance sheet) is real, but growth has repeatedly fallen short of management's own multi-year targets, a pattern directly and credibly flagged by the community</w:t>
      </w:r>
    </w:p>
    <w:p>
      <w:pPr>
        <w:pStyle w:val="ListParagraph"/>
        <w:numPr>
          <w:ilvl w:val="0"/>
          <w:numId w:val="1"/>
        </w:numPr>
        <w:spacing w:after="60"/>
      </w:pPr>
      <w:r>
        <w:t xml:space="preserve">Today's fresh Mumbai VP group presentation suggests renewed community interest, worth a follow-up next cycle once its content can be reviewed</w:t>
      </w:r>
    </w:p>
    <w:p>
      <w:pPr>
        <w:pStyle w:val="ListParagraph"/>
        <w:numPr>
          <w:ilvl w:val="0"/>
          <w:numId w:val="1"/>
        </w:numPr>
        <w:spacing w:after="60"/>
      </w:pPr>
      <w:r>
        <w:t xml:space="preserve">Modest current ROE/growth combined with a guidance-credibility question means this doesn't clear the bar for a 10x-in-2-3-years call today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2026-08-24T12:50:09.424Z</dcterms:created>
  <dcterms:modified xsi:type="dcterms:W3CDTF">2026-08-24T12:50:09.425Z</dcterms:modified>
</cp:coreProperties>
</file>

<file path=docProps/custom.xml><?xml version="1.0" encoding="utf-8"?>
<Properties xmlns="http://schemas.openxmlformats.org/officeDocument/2006/custom-properties" xmlns:vt="http://schemas.openxmlformats.org/officeDocument/2006/docPropsVTypes"/>
</file>