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Valiant Communications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micro-cap defense/critical-infrastructure communications equipment maker with exceptional margins, a real Power Grid order win, and a genuine — if common for its size — cash-conversion risk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Valiant Communications, founded 1994 in New Delhi, designs and manufactures niche telecom/critical-infrastructure equipment — Digital Pair Gain Systems, PCM Multiplexers, Optical Line Terminating Equipment, and, more recently, OT cybersecurity/hardware isolation for SCADA environments and NavIC-enabled time-synchronization equipment for data centers. It has been designated a 'Trusted Source' by India's National Security Council Secretariat and won a Tejas Networks JV order that materially lifted revenue.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1,300 Cr (up 78.5%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92.0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32.63% (half-year)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23.34% (vs industry 12.15%)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433.30 - Rs 1,304.20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exceptional core profitability metrics for its size (ROCE 32.63%, ROE 25%, near-debt-free) and strong revenue growth well ahead of industry. However, this is a very small, cash-flow-fragile microcap: cash conversion cycle is roughly 400 days, and large receivables leave near-zero operating cash flow despite steadily rising profit — a real, forum-flagged working-capital concern common to fast-growing microcaps but worth monitoring closely rather than dismissing.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(all 11 posts, spanning Jan-Aug 2026 — this is a brand-new company thread, not yet a sustained multi-year diligence effort). Ghonarbochon (trusted, elevated-tier) opened the thread and has continued to post updates on order-book health across quarters. Tom_m contributed a detailed, non-promotional product/moat/risk writeup explicitly flagging the cash-conversion issue upfront.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Ghonarbochon (trusted, elevated-tier) is the thread's originator and named Valiant among his 'high conviction bets' in a separate portfolio-review thread ('I still have conviction... high conviction bets...hence additions to HBL, Ceinsys and Valiant'), repeated across two posts roughly 8 months apart — genuine, sustained conviction language, not a one-off mention. The thread itself, while thin, shows real recent catalysts materializing: an NSC 'Trusted Source' designation and a live Power Grid data-center order win (announced 05-Aug-2026, days before this scan) for NavIC time-synchronization equipment.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2025-03-29 / 2025-11-27 — Ghonarbochon (trusted, elevated-tier)</w:t>
      </w:r>
      <w:r>
        <w:rPr>
          <w:i/>
          <w:iCs/>
          <w:color w:val="666666"/>
          <w:sz w:val="18"/>
          <w:szCs w:val="18"/>
        </w:rPr>
        <w:t xml:space="preserve"> (Investment journey of a late starter)</w:t>
      </w:r>
      <w:r>
        <w:rPr>
          <w:sz w:val="20"/>
          <w:szCs w:val="20"/>
        </w:rPr>
        <w:br/>
        <w:t xml:space="preserve">: Repeated 'high conviction' language on Valiant across two posts roughly 8 months apart ('I still have conviction'; 'high conviction bets...hence additions to HBL, Ceinsys and Valiant').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core profitability for its size (ROCE 32.63%, ROE 25%) with near-zero debt and revenue growth well ahead of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specific, and recent catalyst: a live Power Grid data-center order win (5-Aug-2026) for data-storage servers and NavIC-enabled time-synchronization equipment, plus a formal NSC 'Trusted Source' designation supporting the defense/critical-infrastructure positioning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Sustained, repeated trusted-user conviction language (Ghonarbochon) across multiple months, not a one-time mention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Steady orderbook replenishment confirmed for two consecutive quarters as the large initial Tejas JV order is executed down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a genuine, currently-unresolved concern: ~400-day cash conversion cycle and near-zero CFO despite rising profit — a real risk for a company this small, not yet demonstrated to be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company thread itself is very thin (only 11 posts total) — this is early-stage community coverage without the sustained, multi-quarter diligence track record seen on this project's higher-conviction names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already up 78.5% in a year, meaning some of the recent catalyst has likely been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low-revenue-base business (Rs 92 Cr revenue) means order lumpiness (as seen with the Tejas JV order driving the recent 'high orbit' in revenue) could cut both ways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excellent-margin defense/critical-infra microcap with a live, specific order catalyst — small enough and early enough in its community coverage to warrant real but cautious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profitability (ROCE 32.63%, ROE 25%) and growth (23.34% CAGR vs 12.15% industry) are both independently strong, and the trusted signal is genuine and repeated (Ghonarbochon's 'high conviction' language across two separate posts).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Power Grid order win and NSC 'Trusted Source' designation are specific, credible, and recent catalysts directly tied to the defense/critical-infrastructure positioning that underpins the bull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cash-conversion risk (400-day cycle, near-zero CFO) is real and should not be waved away — it's a legitimate quality concern common to fast-growing microcaps of this size, and the thread doesn't yet show evidence it's resolving.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the small size (Rs 1,300 Cr), genuine margin quality, and a real recent catalyst, but balanced against thin community coverage (only 11 posts) and the unresolved cash-flow concern, conviction is set to Low with the '10x-in-2-3-years' classification carrying an explicit unconfirmed caveat — this needs another 2-3 quarters of order-book and cash-flow confirmation before conviction can be raised.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2026-08-23T03:36:12.034Z</dcterms:created>
  <dcterms:modified xsi:type="dcterms:W3CDTF">2026-08-23T03:36:12.034Z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