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Vasa Denticity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Dental-supplies e-commerce platform with high revenue growth, but a trusted tracker who built a real position has now fully exited amid supplier pushback and guidance credibility issues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Vasa Denticity (Dentalkart) runs a dental-products e-commerce platform with 20,000+ SKUs, 30 owned brands, and 300+ domestic/international brand tie-ups, targeting India's practicing-dentist market and recently expanding into the UK.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706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9.21% / 7-25% (sources conflict; screener shows 7.02%)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52.29% (vs industry median 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322 - 645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revenue CAGR (52%) is exceptional, but FY25 results already showed margin compression (PAT +13% vs revenue +45%, driven by a doubling of 'other expenses'), and subsequent quarters (Nov 2025, Feb 2026) were explicitly described in-thread as 'disappointing' / 'pathetic' against management's own prior guidance, which the community flagged as a repeated overpromising pattern.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102 posts (May 2025-Jun 2026, no escalation needed). Sentiment arc: constructive through mid-2025 on UK expansion (Dentalkart Distribution UK Ltd) and moat-building discussion, but multiple headwinds accumulated from late 2025: several dental-product brands issued notices distancing themselves from or restricting sales via Dentalkart (Jan 2026, reason unresolved in-thread but a real business/authorization risk), a CFO resignation (Mar 2026, framed as unrelated but coinciding with weak results), and a planned IDS Denmed acquisition was withdrawn (May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vikasbargale (trusted, elevated) was the single most engaged tracker, building a real disclosed position (5% of portfolio at one point, Jan 2026) through 2025, but by Jun 2026 explicitly stated: 'I have totally exited my position' -- a clear supersede of his own earlier bullish/building-position calls, driven by repeated guidance misses and unresolved supplier-notice concerns. Marathondreams (trusted, elevated) separately cautioned the thread (Jun 2026) against following well-known investors' stakes as a reason to invest, given their different objectives/sizing.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2026-06-05 — vikasbargale</w:t>
      </w:r>
      <w:r>
        <w:rPr>
          <w:i/>
          <w:iCs/>
          <w:color w:val="666666"/>
          <w:sz w:val="18"/>
          <w:szCs w:val="18"/>
        </w:rPr>
        <w:t xml:space="preserve"> (Vasa Denticity aka Dentalkart)</w:t>
      </w:r>
      <w:r>
        <w:rPr>
          <w:sz w:val="20"/>
          <w:szCs w:val="20"/>
        </w:rPr>
        <w:br/>
        <w:t xml:space="preserve">: post #101: 'I have totally exited my position' -- explicit exit after repeated disappointing results and supplier-notice concerns, superseding his own earlier building-position calls.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2025-10-26 — vikasbargale</w:t>
      </w:r>
      <w:r>
        <w:rPr>
          <w:i/>
          <w:iCs/>
          <w:color w:val="666666"/>
          <w:sz w:val="18"/>
          <w:szCs w:val="18"/>
        </w:rPr>
        <w:t xml:space="preserve"> (Vasa Denticity aka Dentalkart)</w:t>
      </w:r>
      <w:r>
        <w:rPr>
          <w:sz w:val="20"/>
          <w:szCs w:val="20"/>
        </w:rPr>
        <w:br/>
        <w:t xml:space="preserve">: Building a disclosed position through 2025 (posts #66-#82), reaching 5% of portfolio by Jan 2026 ('Invested and Biased. 5% of portfolio').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headline revenue CAGR (52%) against a near-zero industry median -- real category-leadership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UK market expansion via a new distribution subsidiary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who built a real, disclosed 5% position has now fully exited, citing repeated results disappointments relative to management's own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dental-product brands issuing notices distancing themselves from Dentalkart (Jan 2026) is an unresolved, real business/authorization risk, not just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resignation and a withdrawn acquisition (IDS Denmed) both landed within the same negative-news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compression already visible in FY25 (other expenses doubled) even before the FY26 guidance misses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706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top-line growth undercut by a trusted tracker's full exit, supplier pushback, and a repeated pattern of management overpromising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supersede signal here is the deciding factor: a trusted user who built and disclosed a real 5% position has fully exited, specifically citing the same guidance-credibility and supplier-notice issues visible in-thread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AVOID-tier red flag, but the combination of unresolved supplier notices, a CFO departure, and a withdrawn acquisition is enough negative-signal density to filter this out despite the headline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revisit only if the supplier-notice issue is resolved and guidance credibility is rebuilt over a couple of clean quarters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2026-08-23T16:11:22.129Z</dcterms:created>
  <dcterms:modified xsi:type="dcterms:W3CDTF">2026-08-23T16:11:22.130Z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