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Vintage Coffee &amp; Beverages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coffee processor/exporter riding a capacity-expansion wave, clouded by a stack of governance red flags including a fresh Aug-2026 fund-utilization deviation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A trusted community member flagged a disclosed-after-the-fact deviation in preferential-issue fund utilization (stated purpose vs. actual use) as recently as 2026-08-19, on top of a pre-existing pattern of heavy equity dilution, a compliance officer resignation, and an unresolved accounting-classification concern that implies true operating cash flow may be negative. No single item is disqualifying, but the cluster and recency together warrant elevated caution rather than a clean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Vintage Coffee manufactures and exports spray-dried, agglomerated, and (soon) freeze-dried instant coffee, aggressively expanding capacity (6,500 to 11,000+ MTPA across FY25-27) funded largely by equity issuance, with a growing consumer-pack/domestic mix alongside its bulk export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29.9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120 - 180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Days reduced from 192 to 147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and accelerating operating performance — Q1FY27 revenue +58% YoY, EBITDA +75% YoY on top of a Q3FY26 quarter that saw revenue +71%/EBITDA +79% YoY — driven by capacity coming online and a shift toward higher-margin consumer packs. Cash flow from operations turned positive in Q3FY26.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76 posts (2025-07 to 2026-08), single batch. Sentiment tracks two parallel threads: (1) a genuinely strong operating story — capacity ramp, volume growth cross-checked independently against Coffee Board export-permit data by one detailed poster (anupammahor), consistently beating quarter guidance; and (2) a persistent, escalating governance concern — heavy equity dilution via repeated preferential allotments, a compliance officer resignation, missing historical annual-report filings, an accounting classification flagged as a red flag (short-term borrowings booked inside operating cash flow, masking a likely negative true CFO), and — in the very last post read (2026-08-26, from a trusted user) — a fresh, disclosed-after-the-fact deviation where ~Rs 12 Cr raised for 'plant and machinery upgrades' was instead used to buy land without prior shareholder approval.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posters (thevalueinvestor, akash_das, ValueVision) flagged frequent equity dilution and promoter-share pledging as early as Oct 2025; Vishal11 (not trusted, but substantive) identified a specific accounting red flag in Jun 2026 — short-term borrowings classified inside CFO, implying true operating cash flow was negative ~Rs 20 Cr in FY26 rather than positive.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2026-08-26 — Jadewade</w:t>
      </w:r>
      <w:r>
        <w:rPr>
          <w:i/>
          <w:iCs/>
          <w:color w:val="666666"/>
          <w:sz w:val="18"/>
          <w:szCs w:val="18"/>
        </w:rPr>
        <w:t xml:space="preserve"> (Vintage Coffee)</w:t>
      </w:r>
      <w:r>
        <w:rPr>
          <w:sz w:val="20"/>
          <w:szCs w:val="20"/>
        </w:rPr>
        <w:br/>
        <w:t xml:space="preserve">: Flagged a disclosed-after-the-fact Rs 12 Cr deviation in preferential-issue fund utilization (raised for 'plant and machinery upgrades,' instead spent on land purchase without prior shareholder approval), explicitly comparing the pattern to Sigachi's warrant-dilution capital-allocation issue that made him cautious there.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History of frequent preferential allotments/QIPs funding capex; compliance officer resignation (Oct 2025) around the time of a warrant issue at Rs 124/share; company's BSE filings reportedly show only the current year's annual report despite being listed since 2019 (flagged by thevalueinvestor, unverified independently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and EBITDA growth are genuinely strong and accelerating across multiple quarters (58-79% YoY ranges),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is scaling aggressively (6,500 → 11,000+ MTPA by FY26-27) with independent cross-checks (Coffee Board export-permit data) broadly corroborating management's volume claims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Q3FY26 and product mix is shifting toward higher-margin consumer packs (target 65-70% vs. current ~50%)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(Aug 2026) governance red flag: a trusted user found a fund-utilization deviation — money raised for stated capex was redirected to a land purchase without prior shareholder approval, an explicit disclosed-after-the-fact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 accounting-classification concern (short-term borrowings booked inside operating cash flow) implies true FY26 operating cash flow may have been negative, not positive as headline figures suggest — unresolved as of the last post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Heavy, repeated equity dilution to fund growth, a compliance officer resignation, and incomplete historical BSE filings for a company listed since 2019 — a cluster of governance concerns, not a single isolated incident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Key-man risk flagged directly (CEO Balakrishna Tati draws &gt;Rs 1 Cr salary vs. CFO's ~Rs 35 LPA, with no obvious succession bench)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2,354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accelerating growth story undercut by a genuine and escalating stack of governance red flags, including one from just days ago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momentum (58-79% YoY revenue/EBITDA growth, capacity scaling, improving working capital) is specific and real enough to support a 10x-in-2-3-years thesis fit on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the accumulation of governance concerns — accounting-classification questions, a disclosed-after-the-fact fund-utilization deviation flagged by a trusted user as recently as this week, heavy dilution, and a compliance-officer resignation — is exactly the pattern the project treats as a HIGH CAUTION tier even without a single disqualifying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should stay capped at Low-Medium until the fund-utilization deviation and the CFO-classification question get a clean explanation from management, ideally on the next concall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2026-08-26T17:12:18.190Z</dcterms:created>
  <dcterms:modified xsi:type="dcterms:W3CDTF">2026-08-26T17:12:18.191Z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