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Websol Energy System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Cheap, fast-growing, newly deleveraged solar cell/module maker now actively upgrading a line to TOPCon - but an industry capex glut, a large self-funding gap and an unresolved DCR production-vs-sales credibility question keep it HIGH CAUTION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Persistent DCR-portal production-vs-sales discrepancy that management denies and has not explained; history of investor value destruction; large staged fund-raises likely for the 4 GW roadmap.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Solar PV cell and module manufacturer in a violent up-cycle; net-debt-free after a turnaround, upgrading a mono-PERC line to TOPCon (1.35 GW, &gt;24.5% efficiency) toward a planned integrated 2 GW cell+module facility and a longer-term 4 GW target.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5,310 Cr (small-cap)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Q4 FY26 revenue</w:t>
            </w:r>
          </w:p>
        </w:tc>
        <w:tc>
          <w:tcPr>
            <w:tcW w:type="dxa" w:w="5800"/>
          </w:tcPr>
          <w:p>
            <w:r>
              <w:t xml:space="preserve">Rs 401 Cr, +132%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Q4 FY26 PAT</w:t>
            </w:r>
          </w:p>
        </w:tc>
        <w:tc>
          <w:tcPr>
            <w:tcW w:type="dxa" w:w="5800"/>
          </w:tcPr>
          <w:p>
            <w:r>
              <w:t xml:space="preserve">Rs 125 Cr, +158%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revenue / PAT</w:t>
            </w:r>
          </w:p>
        </w:tc>
        <w:tc>
          <w:tcPr>
            <w:tcW w:type="dxa" w:w="5800"/>
          </w:tcPr>
          <w:p>
            <w:r>
              <w:t xml:space="preserve">Rs 1,049 Cr (+82%) / Rs 303 Cr (+96%); P/E ~17.5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EBITDA</w:t>
            </w:r>
          </w:p>
        </w:tc>
        <w:tc>
          <w:tcPr>
            <w:tcW w:type="dxa" w:w="5800"/>
          </w:tcPr>
          <w:p>
            <w:r>
              <w:t xml:space="preserve">Rs 429 Cr (+70%); OPM slipped ~45% -&gt; 36% as module mix rose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~Rs 1,161 Cr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up-cycle is intact - Q4 FY26 revenue +132% and PAT +158%, FY26 PAT +96% to Rs 303 Cr, net-debt-free, order book ~Rs 1,161 Cr. The TOPCon line upgrade is now underway, which is faster than the 'TOPCon ~2 years out' concern from the prior read. Against this: the 4 GW roadmap implies roughly Rs 2,500 Cr of capex (Rs 270 Cr brownfield + ~Rs 2,240 Cr greenfield) versus ~Rs 250 Cr of prior-year operating cash flow, so staged fund-raises/dilution are likely; the industry is adding ~80 GW of ALMM-2 capacity against 40-50 GW domestic annual demand; and the DCR-portal production-vs-sales discrepancy that management denies has still not been explained.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solar PV manufacturing / ALMM localisation (cells + modules)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integrated PV cell + module maker, mono-PERC now, upgrading to TOPCon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solar cells (vs commoditised module assembly)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Waaree Energies, Premier Energies, Adani Solar, Vikram Solar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Cell capacity is the tighter node today, but ~80 GW of new ALMM-2 capacity is being added against 40-50 GW demand - a classic late-cycle glut setup; survivors will be the lowest-cost, highest-utilisation operators.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One new post (#323, Raghav_Pateriya, invested, non-trusted, 3 loves): a balanced note - industry over-capacity and the self-funding gap are real risks, but Websol has a genuine cost/execution edge (material breakage &lt;5%, implied utilisation &gt;90%, command over Chinese assembly-line technology) that should help it navigate competition. No update on the DCR gap.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call in the new activity; prior signals carried forward (Midhunjoe mildly positive on Q1 FY27; vikas_sinha cautious).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2026-04-27 — Midhunjoe</w:t>
      </w:r>
      <w:r>
        <w:rPr>
          <w:i/>
          <w:iCs/>
          <w:color w:val="666666"/>
          <w:sz w:val="18"/>
          <w:szCs w:val="18"/>
        </w:rPr>
        <w:t xml:space="preserve"> (Websol energy system ltd)</w:t>
      </w:r>
      <w:r>
        <w:rPr>
          <w:sz w:val="20"/>
          <w:szCs w:val="20"/>
        </w:rPr>
        <w:br/>
        <w:t xml:space="preserve">: Q1 FY27 results 'good overall'; margins dropped as expected on higher module output - mildly positive, not a strong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blowout confirms the up-cycle; net-debt-free; order-book cover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TOPCon transition already underway - technology risk being managed faster than feared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at ~17.5x FY26 earnings; low breakage and &gt;90% utilisation suggest a genuine low-cost position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 GW roadmap needs ~Rs 2,500 Cr vs ~Rs 250 Cr OCF - staged dilution/fund-raises likely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Industry adding ~80 GW ALMM-2 capacity vs 40-50 GW demand - overcapacity / balance-sheet-disaster risk sector-wide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DCR-portal production-vs-sales discrepancy still unexplained by management - a live credibility issue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Margins compressing as module mix rises; large entrants (Reliance, Adani) with scale economics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History of deadline slippage and past investor value destruction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5,310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Re-verification: Q4 FY26 blowout confirmed and the TOPCon upgrade is underway, but the self-funding gap, sector overcapacity and the unexplained DCR gap keep it 10x-in-2-3-years at Low conviction under HIGH CAUTION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Re-verification stock (Sovrenn lead). The Q4 FY26 datapoint (+132% sales / +158% PAT) is verified, and the TOPCon line upgrade is now in progress - both are positives that address the technology-transition timing concern from the prior read.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new forum post sharpens two risks: the ~Rs 2,500 Cr capex requirement against ~Rs 250 Cr operating cash flow (dilution likely) and the ~80 GW of incoming ALMM-2 capacity against 40-50 GW demand; and the DCR production-vs-sales discrepancy remains unexplained.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change: thesis_fit 10x-in-2-3-years (large recent inflection on a Rs 1,049 Cr base, per the small/mid-cap rule) at Low conviction, HIGH CAUTION retained; no 30-day revisit. Re-check on TOPCon line commissioning, the DCR gap being resolved, sustained low pledge, and 4 GW plant progress with funding clarity.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2026-09-01T18:57:35.233Z</dcterms:created>
  <dcterms:modified xsi:type="dcterms:W3CDTF">2026-09-01T18:57:35.234Z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