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Zinka Logistics Solutions Ltd (BlackBuck)</w:t>
      </w:r>
    </w:p>
    <w:p>
      <w:pPr>
        <w:pBdr>
          <w:bottom w:val="single" w:color="CCCCCC" w:sz="6" w:space="8"/>
        </w:pBdr>
        <w:spacing w:after="200"/>
      </w:pPr>
      <w:r>
        <w:rPr>
          <w:i/>
          <w:iCs/>
          <w:color w:val="666666"/>
          <w:sz w:val="22"/>
          <w:szCs w:val="22"/>
        </w:rPr>
        <w:t xml:space="preserve">A trucking-platform business where the fast-growing SuperLoads freight-brokerage vertical is a genuine optionality story, tempered by regulatory dependency on FASTag, promoter selling, and rich valuation</w:t>
      </w:r>
    </w:p>
    <w:p>
      <w:pPr>
        <w:pStyle w:val="Heading1"/>
        <w:spacing w:after="120" w:before="280"/>
      </w:pPr>
      <w:r>
        <w:t xml:space="preserve">Business Overview</w:t>
      </w:r>
    </w:p>
    <w:p>
      <w:pPr>
        <w:spacing w:after="120"/>
      </w:pPr>
      <w:r>
        <w:t xml:space="preserve">Zinka Logistics (BlackBuck) operates India's largest digital trucking platform, spanning FASTag-based tolling/payments, telematics/tracking, fuel-card services, vehicle financing (via subsidiary BFPL), and a rapidly-scaling digital freight-brokerage vertical (SuperLoads, competing loosely with Delhivery's Orion). The core tolling/telematics business benefits from FASTag's near-universal penetration (98%, 8 crore users).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11,542 Cr</w:t>
            </w:r>
          </w:p>
        </w:tc>
      </w:tr>
      <w:tr>
        <w:tc>
          <w:tcPr>
            <w:tcW w:type="dxa" w:w="3200"/>
            <w:shd w:fill="F2F2F2" w:val="clear"/>
          </w:tcPr>
          <w:p>
            <w:r>
              <w:rPr>
                <w:b/>
                <w:bCs/>
              </w:rPr>
              <w:t xml:space="preserve">ROE (3-yr)</w:t>
            </w:r>
          </w:p>
        </w:tc>
        <w:tc>
          <w:tcPr>
            <w:tcW w:type="dxa" w:w="5800"/>
          </w:tcPr>
          <w:p>
            <w:r>
              <w:t xml:space="preserve">13.7% (one source cites 47.30%, likely reflecting a low post-IPO equity base)</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Q1 FY27 revenue growth</w:t>
            </w:r>
          </w:p>
        </w:tc>
        <w:tc>
          <w:tcPr>
            <w:tcW w:type="dxa" w:w="5800"/>
          </w:tcPr>
          <w:p>
            <w:r>
              <w:t xml:space="preserve">38-42% YoY (Rs 143.61 Cr to Rs 204.17 Cr per one figure)</w:t>
            </w:r>
          </w:p>
        </w:tc>
      </w:tr>
      <w:tr>
        <w:tc>
          <w:tcPr>
            <w:tcW w:type="dxa" w:w="3200"/>
            <w:shd w:fill="F2F2F2" w:val="clear"/>
          </w:tcPr>
          <w:p>
            <w:r>
              <w:rPr>
                <w:b/>
                <w:bCs/>
              </w:rPr>
              <w:t xml:space="preserve">52-week range</w:t>
            </w:r>
          </w:p>
        </w:tc>
        <w:tc>
          <w:tcPr>
            <w:tcW w:type="dxa" w:w="5800"/>
          </w:tcPr>
          <w:p>
            <w:r>
              <w:t xml:space="preserve">Rs 496 - Rs 748</w:t>
            </w:r>
          </w:p>
        </w:tc>
      </w:tr>
      <w:tr>
        <w:tc>
          <w:tcPr>
            <w:tcW w:type="dxa" w:w="3200"/>
            <w:shd w:fill="F2F2F2" w:val="clear"/>
          </w:tcPr>
          <w:p>
            <w:r>
              <w:rPr>
                <w:b/>
                <w:bCs/>
              </w:rPr>
              <w:t xml:space="preserve">FY25 Sales / Net Profit</w:t>
            </w:r>
          </w:p>
        </w:tc>
        <w:tc>
          <w:tcPr>
            <w:tcW w:type="dxa" w:w="5800"/>
          </w:tcPr>
          <w:p>
            <w:r>
              <w:t xml:space="preserve">Rs 640 Cr / Rs 143 Cr (per one 2025 estimate; P/E ~84, P/S ~18 cited as rich)</w:t>
            </w:r>
          </w:p>
        </w:tc>
      </w:tr>
    </w:tbl>
    <w:p>
      <w:pPr>
        <w:spacing w:after="100"/>
      </w:pPr>
    </w:p>
    <w:p>
      <w:pPr>
        <w:spacing w:after="120"/>
      </w:pPr>
      <w:r>
        <w:t xml:space="preserve">Core tolling/telematics business is genuinely compounding at a strong, sustainable 25-35% growth rate per management's own Q3 FY26 concall guidance, with tolling GTV growth of 24% outpacing the broader industry's ~15%, implying real market-share gains. The standout is SuperLoads (digital freight brokerage), which grew ~271% YoY and expanded from 4 to 9 cities with a target of 14 by mid-2026 — genuine, fast-scaling optionality on top of the stable core. However, the company only recently turned consistently profitable, and valuation is rich by conventional metrics (P/E ~84, P/S ~18 per one 2025 estimate).</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entire available thread (44 of 44 posts, spanning Feb 2025 to Feb 2026). Substantial, technically-detailed engagement from multiple trusted-elevated users (Gautam_Chopra, Nikunj_Todi, Naman_Gupta1, karanshah137, Amnesiac, UrsRafeek), with real, unresolved debate about regulatory risk: several posters flagged that if the government mandates GNSS-based or bank-account-linked tolling instead of FASTag, a large part of BlackBuck's tolling revenue could be structurally disrupted — one poster called a 50% government toll-rate cut (implemented mid-2025) 'a major red flag' about future government intervention risk, though the stock didn't correct on the news.</w:t>
      </w:r>
    </w:p>
    <w:p>
      <w:pPr>
        <w:spacing w:after="120"/>
      </w:pPr>
      <w:r>
        <w:rPr>
          <w:b/>
          <w:bCs/>
          <w:sz w:val="20"/>
          <w:szCs w:val="20"/>
        </w:rPr>
        <w:t xml:space="preserve">High-conviction call from a top contributor: </w:t>
      </w:r>
      <w:r>
        <w:rPr>
          <w:sz w:val="20"/>
          <w:szCs w:val="20"/>
        </w:rPr>
        <w:t xml:space="preserve">Per state.json's existing sourcing, Vivek_6954 (trusted) flagged BlackBuck for careful study in his own portfolio thread, disclosing a recent investment 'post good nos'. joinjp2003 (trusted, separate thread) named BlackBuck among his 2025 'conviction bets' alongside CSB Bank, Cartrade, SJS, and Inventurus. Within the company thread itself, Amnesiac (trusted, elevated-tier) provided the most substantive recent bull case (Nov 2025-Feb 2026): core tolling/telematics still has decent margin upside with mostly-fixed costs, and SuperLoads' city expansion (9 cities, targeting 14 by mid-2026, all currently South-India-concentrated with room to add longer pan-India routes) is a real, underappreciated growth lever.</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2025-11-28 / 2026-02-05 — Amnesiac (trusted, elevated-tier)</w:t>
      </w:r>
      <w:r>
        <w:rPr>
          <w:i/>
          <w:iCs/>
          <w:color w:val="666666"/>
          <w:sz w:val="18"/>
          <w:szCs w:val="18"/>
        </w:rPr>
        <w:t xml:space="preserve"> (Zinka Logistics company thread)</w:t>
      </w:r>
      <w:r>
        <w:rPr>
          <w:sz w:val="20"/>
          <w:szCs w:val="20"/>
        </w:rPr>
        <w:br/>
        <w:t xml:space="preserve">: Argued core tolling/telematics still has margin upside (mostly-fixed costs) and that SuperLoads' rapid city expansion is a real, underappreciated growth driver as it moves beyond its current South-India concentration.</w:t>
      </w:r>
    </w:p>
    <w:p>
      <w:pPr>
        <w:spacing w:after="100"/>
      </w:pPr>
      <w:r>
        <w:rPr>
          <w:b/>
          <w:bCs/>
          <w:sz w:val="20"/>
          <w:szCs w:val="20"/>
        </w:rPr>
        <w:t xml:space="preserve">dated language, post #243 — joinjp2003 (trusted)</w:t>
      </w:r>
      <w:r>
        <w:rPr>
          <w:i/>
          <w:iCs/>
          <w:color w:val="666666"/>
          <w:sz w:val="18"/>
          <w:szCs w:val="18"/>
        </w:rPr>
        <w:t xml:space="preserve"> (My portfolio updates and investment journey)</w:t>
      </w:r>
      <w:r>
        <w:rPr>
          <w:sz w:val="20"/>
          <w:szCs w:val="20"/>
        </w:rPr>
        <w:br/>
        <w:t xml:space="preserve">: Named BlackBuck among 2025 'conviction bets' alongside CSB Bank, Cartrade, SJS, Inventurus.</w:t>
      </w:r>
    </w:p>
    <w:p>
      <w:pPr>
        <w:spacing w:after="100"/>
      </w:pPr>
      <w:r>
        <w:rPr>
          <w:b/>
          <w:bCs/>
          <w:sz w:val="20"/>
          <w:szCs w:val="20"/>
        </w:rPr>
        <w:t xml:space="preserve">dated language, exact post unspecified — Vivek_6954 (trusted)</w:t>
      </w:r>
      <w:r>
        <w:rPr>
          <w:i/>
          <w:iCs/>
          <w:color w:val="666666"/>
          <w:sz w:val="18"/>
          <w:szCs w:val="18"/>
        </w:rPr>
        <w:t xml:space="preserve"> (Vivek Gautam Portfolio)</w:t>
      </w:r>
      <w:r>
        <w:rPr>
          <w:sz w:val="20"/>
          <w:szCs w:val="20"/>
        </w:rPr>
        <w:br/>
        <w:t xml:space="preserve">: Flagged BlackBuck for careful study; disclosed a recent investment made 'post good nos'.</w:t>
      </w:r>
    </w:p>
    <w:p>
      <w:pPr>
        <w:pStyle w:val="Heading1"/>
        <w:spacing w:after="120" w:before="280"/>
      </w:pPr>
      <w:r>
        <w:t xml:space="preserve">BSE Corporate Actions / Other Red Flags</w:t>
      </w:r>
    </w:p>
    <w:p>
      <w:pPr>
        <w:spacing w:after="120"/>
      </w:pPr>
      <w:r>
        <w:t xml:space="preserve">No SEBI/regulatory action found. Promoter stake sales (block deals, late 2025) and simultaneous participation in a pre-IPO placement of an unrelated company (Nephrocare) were flagged by forum users as a point worth monitoring, though not confirmed as alarming.</w:t>
      </w:r>
    </w:p>
    <w:p>
      <w:pPr>
        <w:pStyle w:val="Heading1"/>
        <w:spacing w:after="120" w:before="280"/>
      </w:pPr>
      <w:r>
        <w:t xml:space="preserve">Bull Case</w:t>
      </w:r>
    </w:p>
    <w:p>
      <w:pPr>
        <w:pStyle w:val="ListParagraph"/>
        <w:numPr>
          <w:ilvl w:val="0"/>
          <w:numId w:val="1"/>
        </w:numPr>
        <w:spacing w:after="60"/>
      </w:pPr>
      <w:r>
        <w:t xml:space="preserve">Core tolling/telematics compounding at a real, management-guided 25-35% growth rate, with tolling GTV growth (24%) genuinely outpacing industry (~15%), implying market-share gains</w:t>
      </w:r>
    </w:p>
    <w:p>
      <w:pPr>
        <w:pStyle w:val="ListParagraph"/>
        <w:numPr>
          <w:ilvl w:val="0"/>
          <w:numId w:val="1"/>
        </w:numPr>
        <w:spacing w:after="60"/>
      </w:pPr>
      <w:r>
        <w:t xml:space="preserve">SuperLoads is a genuine, fast-scaling optionality story: ~271% YoY growth, expanding from 4 to 9 to a targeted 14 cities by mid-2026, with real potential to unlock longer pan-India routes beyond its current South-India base</w:t>
      </w:r>
    </w:p>
    <w:p>
      <w:pPr>
        <w:pStyle w:val="ListParagraph"/>
        <w:numPr>
          <w:ilvl w:val="0"/>
          <w:numId w:val="1"/>
        </w:numPr>
        <w:spacing w:after="60"/>
      </w:pPr>
      <w:r>
        <w:t xml:space="preserve">Multiple trusted users across different threads have flagged or taken positions, including joinjp2003 naming it among his 2025 conviction bets</w:t>
      </w:r>
    </w:p>
    <w:p>
      <w:pPr>
        <w:pStyle w:val="ListParagraph"/>
        <w:numPr>
          <w:ilvl w:val="0"/>
          <w:numId w:val="1"/>
        </w:numPr>
        <w:spacing w:after="60"/>
      </w:pPr>
      <w:r>
        <w:t xml:space="preserve">Operating leverage is starting to show (expense growth trailing revenue growth per a Feb 2026 update), with the lending business also turning marginally profitable</w:t>
      </w:r>
    </w:p>
    <w:p>
      <w:pPr>
        <w:pStyle w:val="Heading1"/>
        <w:spacing w:after="120" w:before="280"/>
      </w:pPr>
      <w:r>
        <w:t xml:space="preserve">Bear Case / Key Risks</w:t>
      </w:r>
    </w:p>
    <w:p>
      <w:pPr>
        <w:pStyle w:val="ListParagraph"/>
        <w:numPr>
          <w:ilvl w:val="0"/>
          <w:numId w:val="1"/>
        </w:numPr>
        <w:spacing w:after="60"/>
      </w:pPr>
      <w:r>
        <w:t xml:space="preserve">A real, unresolved regulatory dependency: if government policy shifts tolling away from FASTag (GNSS-based or bank-account-linked collection), a large portion of BlackBuck's core tolling revenue could be structurally at risk — this was called 'a major red flag' by one thoughtful poster, even though bulls argue FASTag remains the practical frontend regardless of the backend mechanism</w:t>
      </w:r>
    </w:p>
    <w:p>
      <w:pPr>
        <w:pStyle w:val="ListParagraph"/>
        <w:numPr>
          <w:ilvl w:val="0"/>
          <w:numId w:val="1"/>
        </w:numPr>
        <w:spacing w:after="60"/>
      </w:pPr>
      <w:r>
        <w:t xml:space="preserve">Valuation is rich by conventional metrics (P/E ~84, P/S ~18 per one 2025 estimate) for a business only recently turned consistently profitable</w:t>
      </w:r>
    </w:p>
    <w:p>
      <w:pPr>
        <w:pStyle w:val="ListParagraph"/>
        <w:numPr>
          <w:ilvl w:val="0"/>
          <w:numId w:val="1"/>
        </w:numPr>
        <w:spacing w:after="60"/>
      </w:pPr>
      <w:r>
        <w:t xml:space="preserve">Promoter stake sales in late 2025, alongside participation in an unrelated company's pre-IPO placement, is a real caution flag flagged by multiple forum users, even if not confirmed as alarming</w:t>
      </w:r>
    </w:p>
    <w:p>
      <w:pPr>
        <w:pStyle w:val="ListParagraph"/>
        <w:numPr>
          <w:ilvl w:val="0"/>
          <w:numId w:val="1"/>
        </w:numPr>
        <w:spacing w:after="60"/>
      </w:pPr>
      <w:r>
        <w:t xml:space="preserve">SuperLoads remains genuinely early-stage (9 cities as of the most recent update) — the bull case rests heavily on continued execution of a still-unproven pan-India scale-up</w:t>
      </w:r>
    </w:p>
    <w:p>
      <w:pPr>
        <w:pStyle w:val="Heading1"/>
        <w:spacing w:after="120" w:before="280"/>
      </w:pPr>
      <w:r>
        <w:t xml:space="preserve">Market-Cap Tier (informational — not a gate in this project)</w:t>
      </w:r>
    </w:p>
    <w:p>
      <w:pPr>
        <w:spacing w:after="120"/>
      </w:pPr>
      <w:r>
        <w:rPr>
          <w:b/>
          <w:bCs/>
        </w:rPr>
        <w:t xml:space="preserve">mid-cap</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dominant trucking-platform core business with a genuine, fast-scaling freight-brokerage optionality story — real regulatory and valuation risk keep conviction measured rather than high</w:t>
      </w:r>
    </w:p>
    <w:p>
      <w:pPr>
        <w:pStyle w:val="ListParagraph"/>
        <w:numPr>
          <w:ilvl w:val="0"/>
          <w:numId w:val="1"/>
        </w:numPr>
        <w:spacing w:after="60"/>
      </w:pPr>
      <w:r>
        <w:t xml:space="preserve">The core tolling/telematics business is genuinely strong and gaining share (24% GTV growth vs ~15% industry), and SuperLoads' ~271% YoY growth with real city-expansion momentum is a credible, specific growth catalyst rather than a vague narrative.</w:t>
      </w:r>
    </w:p>
    <w:p>
      <w:pPr>
        <w:pStyle w:val="ListParagraph"/>
        <w:numPr>
          <w:ilvl w:val="0"/>
          <w:numId w:val="1"/>
        </w:numPr>
        <w:spacing w:after="60"/>
      </w:pPr>
      <w:r>
        <w:t xml:space="preserve">Multiple trusted users across different threads have flagged or taken real positions in this stock, including a named 2025 'conviction bet' designation.</w:t>
      </w:r>
    </w:p>
    <w:p>
      <w:pPr>
        <w:pStyle w:val="ListParagraph"/>
        <w:numPr>
          <w:ilvl w:val="0"/>
          <w:numId w:val="1"/>
        </w:numPr>
        <w:spacing w:after="60"/>
      </w:pPr>
      <w:r>
        <w:t xml:space="preserve">However, the regulatory dependency on FASTag-based tolling is a genuine, unresolved structural risk directly flagged within the community itself (not dismissed), and promoter selling alongside rich valuation are real, current caution flags rather than resolved concerns.</w:t>
      </w:r>
    </w:p>
    <w:p>
      <w:pPr>
        <w:pStyle w:val="ListParagraph"/>
        <w:numPr>
          <w:ilvl w:val="0"/>
          <w:numId w:val="1"/>
        </w:numPr>
        <w:spacing w:after="60"/>
      </w:pPr>
      <w:r>
        <w:t xml:space="preserve">Given the mid-cap size (Rs 11,542 Cr), genuine core-business quality, and real optionality in SuperLoads, but weighed against unresolved regulatory and valuation risk plus promoter-selling caution, conviction is set to Low-Medium with thesis_fit '10x-in-2-3-years' carrying an explicit unconfirmed caveat pending regulatory clarity and further SuperLoads scale-up evidence.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2026-08-23T03:36:12.310Z</dcterms:created>
  <dcterms:modified xsi:type="dcterms:W3CDTF">2026-08-23T03:36:12.311Z</dcterms:modified>
</cp:coreProperties>
</file>

<file path=docProps/custom.xml><?xml version="1.0" encoding="utf-8"?>
<Properties xmlns="http://schemas.openxmlformats.org/officeDocument/2006/custom-properties" xmlns:vt="http://schemas.openxmlformats.org/officeDocument/2006/docPropsVTypes"/>
</file>