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2026-10-05 · 321 guidance-assessed, 690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+45%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+45%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margin durability beyond the single Q1 FY27 confirming quarter, plus Chennai Phase-2 (60,000 TPA) full ramp and steel-cord pilot trial results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price volatility -- unhedged, quarterly repricing vs monthly purchases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(Oct-Nov 2026): confirm if PAT margin holds at 23%+ or reverts to 18-19%  (~2M,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india's real-estate/construction cooldown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(Oct 2026) - regional bank credit growth; deposit quality &amp; asset quality metrics validation; dividend continuity  (~2M,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 price volatility (growth seen decelerating in h2 as gold stabilises near $4,000/oz); gold-loan yield/volume as gold prices normalise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Padi/Canopy Living JV project launch (first-phase bookings) + continued pre-sales momentum print in Q2/Q3 FY27 results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chennai residential demand cycle + tn election-related disruption (flagged by management in q1 fy27 commentary); prestige-jv execution and launch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presales exit print (~Rs1,050-1,100cr guided) + Pune/Chennai senior-living project launch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project concentration for that gdv slice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results showing execution against the Rs250-260cr revenue / 15-park / 50-lakh-footfall / Rs40-42cr annuity-revenue guidance, alongside evidence that receivables are actually converting to cash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political/approval delays, explicitly flagged by the company itself; receivables collection pace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19.28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festive/wedding-season margin print showing recovery toward the guided 7.5-7.8% EBITDA margin band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gold price volatility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Saudi plant commissioning (Sep-Oct 2026) + a Q3/Q4 FY27 EBITDA margin print showing recovery toward the 8-8.5% guided range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has already slipped twice (jun 2026 -&gt; sep-oct 2026); commodity cost pass-through execution; tender award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220kV type-testing completion + first EHV customer order, plus Q2/Q3 FY27 results confirming margin recovery toward the guided ~19%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lack of us ul certification limits addressable export markets; type-testing/validation timeline (6-8 months)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7.07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23.89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EBITDA margin trajectory toward the guided 19-22% and working-capital days normalizing toward ~90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fund-release cycle, outside company's control; government fund-release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execution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fabric-mix rerating pending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results (expected Jan 2027) and concall to provide concrete biologics revenue contribution, customer pipeline update, and FY28 margin guidance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slower-than-expected customer adoption or regulatory delays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4.58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and concall (expected Nov 2026) to confirm if working capital is normalizing and FCF turning positive; order book visibility for rest of FY27  (~1M,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demand slowdown forcing inventory build-up, customer concentration forcing extended terms; india solar targets delayed, global competition from chinese imports, policy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depends on major clients (iocl, ntpc, gail) continuing capex; shift back to higher-lstk revenue would compress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margin print (Oct 2026) - sustain Q1 FY27 profit momentum (692% YoY growth to ₹206 Cr); refining margin cycle validation  (~2M,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loss of major phpo or pio customer; resumption of normal crude/base oil flows from middle east; hormuz strait reopening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multiple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concall (Oct 2026) - order book visibility confirmation; Q3/Q4 bookings validation; US tariff normalization impact  (~2M,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overruns or delayed order pickup; rosctl elimination or geopolitical tariff shocks (hormuz, u.s. inflation)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MPS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AMC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GVPIL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 Grid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IRM Energy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growth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capacity ramp &amp; Q2 FY27 results (Oct 2026) - 500 TPD glass capacity Mar'27 timeline; aluminum cans project commercialization; margin recovery validation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overruns or project delays; delayed order intake from specialty segment; input cost inflation (soda ash, energy)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occupancy ramp in newer blocks (Oct-Mar 2027) - 25% bed-day growth sustaining; +10% revenue trajectory validation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scale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68.47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FY27 production ramp to the 2,500 boepd exit target plus first sustained commercial confirmation at Duarmara and a fuller Dangeru ramp, with resulting revenue/PAT (excluding the FY26 one-off accounting benefit) showing whether volume growth finally converts into proportional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valuation · H1 FY27 results and Q2 concall to confirm if Q1's +72% is sustainable; any guidance for FY27 revenue/ROCE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multiple · Q2 FY27 AUM/SIP flow (Oct 2026) - ₹32,297 Cr Aug SIP all-time high; 11.5% market share validation; equity momentum acceleration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valuation · Q2 FY27 results and concall (Oct 30, 2026 expected) to clarify if profit margin compression is temporary or structural; management guidance on profit recovery path critical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27.95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Order intake sustains &gt;Rs 1,000 Cr/quarter through FY27-28; capex milestones on schedule (Q1 FY28 preform ramp visible)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Execution of the ~Rs83.85cr order book (Jul-2026, 4-5 month window) converting to FY27 revenue and, critically, to actual cash collection, alongside resolution of the FY26 working-capital/cash-flow strain and stabilization post the Apr-2026 auditor transition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690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 IF margins recover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 IF margins durable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17.98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570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2026-10-05T15:37:51.871Z</dcterms:created>
  <dcterms:modified xsi:type="dcterms:W3CDTF">2026-10-05T15:37:51.872Z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