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Aarti Surfactants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surfactants maker demerged from Aarti Industries' home-and-personal-care division - weak return ratios (ROE ~5.2%, ROCE ~8.5%) despite decent revenue growth put this well below the quality bar for a fundamentals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Aarti Surfactants Ltd was formed via the demerger of Aarti Industries' home &amp; personal care (HPC) division, producing ionic and non-ionic surfactants and specialty products for Home &amp; Personal Care, Industrial, Agro and Oil-industry customers. As a recently demerged entity it is still a standalone small-cap with a limited independent track record.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433 Cr (as of 11-Sep-2026)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316 - Rs 680 (current price ~Rs 520)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~5.2%; ROCE ~8.5%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5800"/>
          </w:tcPr>
          <w:p>
            <w:r>
              <w:t xml:space="preserve">SEBI Small Cap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of ~12.3% is respectable but return ratios are weak for a specialty-chemicals business - ROE of ~5.2% and ROCE of ~8.5% sit well below the &gt;=15% quality threshold this framework looks for, suggesting either post-demerger integration drag, thin/commodity-like surfactant margins, or both. Surfactants are a largely commoditized, price-competitive intermediate chemical with limited pricing power outside a few specialty grades; no specific moat (patents, long-term sole-supply agreements, or brand) was identified for this entity in this pass. Being a young standalone listing (post-demerger), the track record is also too short to independently validate consistency.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fundamentals score is low enough to settle the call without a chart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search performed - four_box score is low enough (&lt;=1.5) to default 'neither' hard without a deep-dive per the triage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 (no negative net worth, no known SEBI action, no auditor resignation or pledge issue surfaced). Limited independent filing history given the recent demerger.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the established Aarti Industries group/manufacturing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revenue growth (~12.3%) and no red flags found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(~5.2%) and ROCE (~8.5%) - well below the quality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Surfactants are a largely commoditized product with limited identified pricing power/moat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 independent track record as a recently demerged entity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433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Weak ROE (~5.2%)/ROCE (~8.5%) despite ~12.3% revenue growth; commodity-like surfactants business with no identified moat; short independent track record post-demerger.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Recently demerged small-cap surfactants maker with decent growth but weak ROE/ROCE and no identified moat.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commodity chemical demand, not thematic; tam weak - small niche; moat weak - no specialty/sole-supply angle identified; valuation weak - unclear, no obvious discount for the return-ratio weakness). Score &lt;=1.5 -&gt; 'neither' hard per the triage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~5.2% / ROCE ~8.5% fail the quality bar (growth+margins+ROCE+debt+FCF+moat) central to the user's stock-selection framework.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sought given the low fundamentals score.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Aarti Surfactants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2026-10-05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Early, unconfirmed turnaround - a low-conviction 10x-optionality watch, not a conviction buy</w:t>
      </w:r>
    </w:p>
    <w:p/>
    <w:p>
      <w:r>
        <w:rPr>
          <w:b/>
        </w:rPr>
        <w:t>📈 Bull Case:</w:t>
      </w:r>
    </w:p>
    <w:p>
      <w:pPr>
        <w:ind w:left="360"/>
      </w:pPr>
      <w:r>
        <w:t>Q2 FY26 PAT up ~115% YoY - a real, specific recent-quarter inflection off a depressed base</w:t>
      </w:r>
    </w:p>
    <w:p>
      <w:pPr>
        <w:ind w:left="360"/>
      </w:pPr>
      <w:r>
        <w:t>Working capital cut from ~32 to ~21.5 days - genuine operating discipline</w:t>
      </w:r>
    </w:p>
    <w:p>
      <w:pPr>
        <w:ind w:left="360"/>
      </w:pPr>
      <w:r>
        <w:t>Small (~Rs 468 Cr) demerged specialty-chemicals platform with room to re-rate if margin normalisation sustains</w:t>
      </w:r>
    </w:p>
    <w:p>
      <w:pPr>
        <w:ind w:left="360"/>
      </w:pPr>
      <w:r>
        <w:t>Aarti-group lineage and an established Home &amp; Personal Care customer base</w:t>
      </w:r>
    </w:p>
    <w:p/>
    <w:p>
      <w:r>
        <w:rPr>
          <w:b/>
        </w:rPr>
        <w:t>📉 Bear Case:</w:t>
      </w:r>
    </w:p>
    <w:p>
      <w:pPr>
        <w:ind w:left="360"/>
      </w:pPr>
      <w:r>
        <w:t>ROE still only ~5% and ROCE ~8.5% - the business has not cleared the cost-of-capital hurdle</w:t>
      </w:r>
    </w:p>
    <w:p>
      <w:pPr>
        <w:ind w:left="360"/>
      </w:pPr>
      <w:r>
        <w:t>Recent profit growth is margin/cost-driven off a low base, not demand-led - durability unproven</w:t>
      </w:r>
    </w:p>
    <w:p>
      <w:pPr>
        <w:ind w:left="360"/>
      </w:pPr>
      <w:r>
        <w:t>~25x earnings on a still-recovering earnings base is not cheap</w:t>
      </w:r>
    </w:p>
    <w:p>
      <w:pPr>
        <w:ind w:left="360"/>
      </w:pPr>
      <w:r>
        <w:t>No community coverage or independent thesis stress-testing; commodity input-cost swings can reverse the margin gain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2026-09-15T15:19:44.666Z</dcterms:created>
  <dcterms:modified xsi:type="dcterms:W3CDTF">2026-09-15T15:19:44.666Z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