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Aries Agro Ltd</w:t>
      </w:r>
    </w:p>
    <w:p>
      <w:pPr>
        <w:pBdr>
          <w:bottom w:val="single" w:color="CCCCCC" w:sz="6" w:space="8"/>
        </w:pBdr>
        <w:spacing w:after="200"/>
      </w:pPr>
      <w:r>
        <w:rPr>
          <w:i/>
          <w:iCs/>
          <w:color w:val="666666"/>
          <w:sz w:val="22"/>
          <w:szCs w:val="22"/>
        </w:rPr>
        <w:t xml:space="preserve">50-year-old micronutrient/specialty-fertilizer maker in a genuine value-led margin inflection (FY26 PAT +26%, Q1 FY27 PAT +49%, working-capital cycle 89-&gt;64 days), cheap at ~13x, but in a crowded 'no brand pull' market and with one Vijay-Kedia boom-bust already behind it</w:t>
      </w:r>
    </w:p>
    <w:p>
      <w:pPr>
        <w:pStyle w:val="Heading1"/>
        <w:spacing w:after="120" w:before="280"/>
      </w:pPr>
      <w:r>
        <w:t xml:space="preserve">Business Overview</w:t>
      </w:r>
    </w:p>
    <w:p>
      <w:pPr>
        <w:spacing w:after="120"/>
      </w:pPr>
      <w:r>
        <w:t xml:space="preserve">Aries Agro (est. 1969) is a market leader in chelation technology for micronutrients in India, offering ~134 brands of water-soluble NPK fertilizers, chelates, secondary nutrients, biological products and agro-equipment, with domestic capacity of 143,400 MT (FY26, up from 137,400 MT FY25) and subsidiaries Mirabelle Agro Manufacturing (specialty sulphur), Aries Agro Equipments, and Golden Harvest Middle East FZC (UAE). FY26 consolidated revenue Rs 956.9 Cr (+18.9%), EBITDA Rs 88.9 Cr (margin 9.29%), PAT Rs 42.4 Cr (+26.5%); Rs 2.50 dividend declared.</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~627 Cr (CMP ~Rs 483)</w:t>
            </w:r>
          </w:p>
        </w:tc>
      </w:tr>
      <w:tr>
        <w:tc>
          <w:tcPr>
            <w:tcW w:type="dxa" w:w="3200"/>
            <w:shd w:fill="F2F2F2" w:val="clear"/>
          </w:tcPr>
          <w:p>
            <w:r>
              <w:rPr>
                <w:b/>
                <w:bCs/>
              </w:rPr>
              <w:t xml:space="preserve">P/E / P/B</w:t>
            </w:r>
          </w:p>
        </w:tc>
        <w:tc>
          <w:tcPr>
            <w:tcW w:type="dxa" w:w="5800"/>
          </w:tcPr>
          <w:p>
            <w:r>
              <w:t xml:space="preserve">~13x / ~1.9x (book value Rs 257)</w:t>
            </w:r>
          </w:p>
        </w:tc>
      </w:tr>
      <w:tr>
        <w:tc>
          <w:tcPr>
            <w:tcW w:type="dxa" w:w="3200"/>
            <w:shd w:fill="F2F2F2" w:val="clear"/>
          </w:tcPr>
          <w:p>
            <w:r>
              <w:rPr>
                <w:b/>
                <w:bCs/>
              </w:rPr>
              <w:t xml:space="preserve">ROE / ROCE</w:t>
            </w:r>
          </w:p>
        </w:tc>
        <w:tc>
          <w:tcPr>
            <w:tcW w:type="dxa" w:w="5800"/>
          </w:tcPr>
          <w:p>
            <w:r>
              <w:t xml:space="preserve">13.7% / 21.2% (3-yr avg ROE ~11.4%)</w:t>
            </w:r>
          </w:p>
        </w:tc>
      </w:tr>
      <w:tr>
        <w:tc>
          <w:tcPr>
            <w:tcW w:type="dxa" w:w="3200"/>
            <w:shd w:fill="F2F2F2" w:val="clear"/>
          </w:tcPr>
          <w:p>
            <w:r>
              <w:rPr>
                <w:b/>
                <w:bCs/>
              </w:rPr>
              <w:t xml:space="preserve">Revenue growth</w:t>
            </w:r>
          </w:p>
        </w:tc>
        <w:tc>
          <w:tcPr>
            <w:tcW w:type="dxa" w:w="5800"/>
          </w:tcPr>
          <w:p>
            <w:r>
              <w:t xml:space="preserve">FY26 +18.9% to Rs 956.9 Cr; TTM +19%; 5-yr CAGR 15% (industry median ~9%)</w:t>
            </w:r>
          </w:p>
        </w:tc>
      </w:tr>
      <w:tr>
        <w:tc>
          <w:tcPr>
            <w:tcW w:type="dxa" w:w="3200"/>
            <w:shd w:fill="F2F2F2" w:val="clear"/>
          </w:tcPr>
          <w:p>
            <w:r>
              <w:rPr>
                <w:b/>
                <w:bCs/>
              </w:rPr>
              <w:t xml:space="preserve">Profit growth</w:t>
            </w:r>
          </w:p>
        </w:tc>
        <w:tc>
          <w:tcPr>
            <w:tcW w:type="dxa" w:w="5800"/>
          </w:tcPr>
          <w:p>
            <w:r>
              <w:t xml:space="preserve">FY26 PAT +26.5% to Rs 42.4 Cr; TTM +30%; 5-yr CAGR 19%</w:t>
            </w:r>
          </w:p>
        </w:tc>
      </w:tr>
      <w:tr>
        <w:tc>
          <w:tcPr>
            <w:tcW w:type="dxa" w:w="3200"/>
            <w:shd w:fill="F2F2F2" w:val="clear"/>
          </w:tcPr>
          <w:p>
            <w:r>
              <w:rPr>
                <w:b/>
                <w:bCs/>
              </w:rPr>
              <w:t xml:space="preserve">FY26 mix detail</w:t>
            </w:r>
          </w:p>
        </w:tc>
        <w:tc>
          <w:tcPr>
            <w:tcW w:type="dxa" w:w="5800"/>
          </w:tcPr>
          <w:p>
            <w:r>
              <w:t xml:space="preserve">Volume +~1%, value +~19.6% — genuine mix-shift to higher-margin value-added products; domestic capacity utilisation ~76%</w:t>
            </w:r>
          </w:p>
        </w:tc>
      </w:tr>
      <w:tr>
        <w:tc>
          <w:tcPr>
            <w:tcW w:type="dxa" w:w="3200"/>
            <w:shd w:fill="F2F2F2" w:val="clear"/>
          </w:tcPr>
          <w:p>
            <w:r>
              <w:rPr>
                <w:b/>
                <w:bCs/>
              </w:rPr>
              <w:t xml:space="preserve">Working capital</w:t>
            </w:r>
          </w:p>
        </w:tc>
        <w:tc>
          <w:tcPr>
            <w:tcW w:type="dxa" w:w="5800"/>
          </w:tcPr>
          <w:p>
            <w:r>
              <w:t xml:space="preserve">Cycle 89 -&gt; 64 days; debtor days 53 -&gt; 35 (screener: 64.6 -&gt; 44.8); D/E ~15%</w:t>
            </w:r>
          </w:p>
        </w:tc>
      </w:tr>
      <w:tr>
        <w:tc>
          <w:tcPr>
            <w:tcW w:type="dxa" w:w="3200"/>
            <w:shd w:fill="F2F2F2" w:val="clear"/>
          </w:tcPr>
          <w:p>
            <w:r>
              <w:rPr>
                <w:b/>
                <w:bCs/>
              </w:rPr>
              <w:t xml:space="preserve">Q1 FY27</w:t>
            </w:r>
          </w:p>
        </w:tc>
        <w:tc>
          <w:tcPr>
            <w:tcW w:type="dxa" w:w="5800"/>
          </w:tcPr>
          <w:p>
            <w:r>
              <w:t xml:space="preserve">Revenue Rs 185.9 Cr (+16.3%), PAT Rs 14.9 Cr (+48.7%)</w:t>
            </w:r>
          </w:p>
        </w:tc>
      </w:tr>
      <w:tr>
        <w:tc>
          <w:tcPr>
            <w:tcW w:type="dxa" w:w="3200"/>
            <w:shd w:fill="F2F2F2" w:val="clear"/>
          </w:tcPr>
          <w:p>
            <w:r>
              <w:rPr>
                <w:b/>
                <w:bCs/>
              </w:rPr>
              <w:t xml:space="preserve">Promoter holding</w:t>
            </w:r>
          </w:p>
        </w:tc>
        <w:tc>
          <w:tcPr>
            <w:tcW w:type="dxa" w:w="5800"/>
          </w:tcPr>
          <w:p>
            <w:r>
              <w:t xml:space="preserve">52.66%, 0% pledged</w:t>
            </w:r>
          </w:p>
        </w:tc>
      </w:tr>
    </w:tbl>
    <w:p>
      <w:pPr>
        <w:spacing w:after="100"/>
      </w:pPr>
    </w:p>
    <w:p>
      <w:pPr>
        <w:spacing w:after="120"/>
      </w:pPr>
      <w:r>
        <w:t xml:space="preserve">A textbook weak-trailing / live-inflection case, now with two clean quarters behind it. A skeptical 2019 forum post noted 10-year PAT growth of only ~Rs 5 Cr to ~Rs 8 Cr, and the stock crashed &gt;50% in 2018-19 after a Vijay-Kedia-driven hype cycle. FY26 shows a real margin-quality shift: value growth (~19.6%) far outpacing volume growth (~1%), i.e. genuine mix-upgrade to higher-margin products, plus a sharp working-capital improvement (cycle 89-&gt;64 days, debtor days sharply down) that is lowering interest cost. EBITDA margin nudged up 8.98% -&gt; 9.29%. Q1 FY27 continued the trend: revenue +16.3%, PAT +48.7%. Returns are now healthy (ROCE 21.2%, ROE 13.7%) and the stock is cheap at ~13x / ~1.9x book. Management guides ~15% PAT growth for FY27 on ~6% sales growth (advance bookings) — a conservative bar the Q1 run-rate is already beating — with the UAE subsidiary (Mirabelle, disrupted by a facility relocation) still to turn.</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Aries Agro FY26 results press release (Tribune / ThePrint / Business Standard ANI, Jun 2026) — consol revenue Rs 956.88 Cr (+18.93%), EBITDA Rs 88.86 Cr (margin 9.29% vs 8.98%), PBT Rs 60.29 Cr (+35.82%), PAT Rs 42.37 Cr (+26.5%), Rs 2.50 dividend, working-capital cycle 89 -&gt; 64 days, debtor days 53 -&gt; 35</w:t>
      </w:r>
    </w:p>
    <w:p>
      <w:pPr>
        <w:pStyle w:val="ListParagraph"/>
        <w:numPr>
          <w:ilvl w:val="0"/>
          <w:numId w:val="1"/>
        </w:numPr>
        <w:spacing w:after="60"/>
      </w:pPr>
      <w:r>
        <w:t xml:space="preserve">Aries Agro Q1 FY27 results coverage (Machine Maker, SMEStreet, ScanX, MarketScreener, Aug 2026) — consol revenue Rs 185.86 Cr (+16.3%), PAT Rs 14.91 Cr (+48.7%); standalone revenue +17.3%, PAT +48.5%</w:t>
      </w:r>
    </w:p>
    <w:p>
      <w:pPr>
        <w:pStyle w:val="ListParagraph"/>
        <w:numPr>
          <w:ilvl w:val="0"/>
          <w:numId w:val="1"/>
        </w:numPr>
        <w:spacing w:after="60"/>
      </w:pPr>
      <w:r>
        <w:t xml:space="preserve">screener.in (ARIES consolidated) — mcap Rs 627 Cr, P/E ~13, book value Rs 257, ROCE 21.2%, ROE 13.7% (3-yr avg 11.4%), TTM revenue Rs 779 Cr / PAT Rs 47 Cr, TTM sales +19% / profit +30%, 5-yr sales CAGR 15% / profit CAGR 19%, promoter 52.66% / 0% pledged, GST demand Rs 3.96 Cr FY2018-19</w:t>
      </w:r>
    </w:p>
    <w:p>
      <w:pPr>
        <w:pStyle w:val="ListParagraph"/>
        <w:numPr>
          <w:ilvl w:val="0"/>
          <w:numId w:val="1"/>
        </w:numPr>
        <w:spacing w:after="60"/>
      </w:pPr>
      <w:r>
        <w:t xml:space="preserve">simplywall.st balance-sheet page — total debt ~Rs 44 Cr (some sources higher incl. working-capital lines), D/E ~15%, improving</w:t>
      </w:r>
    </w:p>
    <w:p>
      <w:pPr>
        <w:pStyle w:val="ListParagraph"/>
        <w:numPr>
          <w:ilvl w:val="0"/>
          <w:numId w:val="1"/>
        </w:numPr>
        <w:spacing w:after="60"/>
      </w:pPr>
      <w:r>
        <w:t xml:space="preserve">VP thread (120 posts, 2018-2026): 2018 Kedia hype + shareholding-disclosure disputes -&gt; &gt;50% crash 2019 -&gt; 2025-26 import-substitution/mix-inflection revival; trusted elevated users vikasbargale and pranavpallod12 constructive with explicit regulatory + dumping caveats; 2018 distributor RadheyShyam_Aggarwal 'no brand pull, ~100 similar sellers'</w:t>
      </w:r>
    </w:p>
    <w:p>
      <w:pPr>
        <w:spacing w:after="120"/>
      </w:pPr>
      <w:r>
        <w:rPr>
          <w:b/>
          <w:bCs/>
          <w:sz w:val="20"/>
          <w:szCs w:val="20"/>
        </w:rPr>
        <w:t xml:space="preserve">Annual-report findings (3-year view):</w:t>
      </w:r>
    </w:p>
    <w:p>
      <w:pPr>
        <w:pStyle w:val="ListParagraph"/>
        <w:numPr>
          <w:ilvl w:val="0"/>
          <w:numId w:val="1"/>
        </w:numPr>
        <w:spacing w:after="60"/>
      </w:pPr>
      <w:r>
        <w:t xml:space="preserve">FY26 consol revenue Rs 956.88 Cr, +18.93% over FY25 Rs 804.59 Cr; EBITDA Rs 88.86 Cr, +22.93%; margin up 8.98% -&gt; 9.29%; PBT +35.82% to Rs 60.29 Cr (PBT growing faster than EBITDA = lower interest drag)</w:t>
      </w:r>
    </w:p>
    <w:p>
      <w:pPr>
        <w:pStyle w:val="ListParagraph"/>
        <w:numPr>
          <w:ilvl w:val="0"/>
          <w:numId w:val="1"/>
        </w:numPr>
        <w:spacing w:after="60"/>
      </w:pPr>
      <w:r>
        <w:t xml:space="preserve">PAT Rs 42.37 Cr, +26.5%; Rs 2.50/share dividend declared; promoter holding 52.66% with 0% pledged</w:t>
      </w:r>
    </w:p>
    <w:p>
      <w:pPr>
        <w:pStyle w:val="ListParagraph"/>
        <w:numPr>
          <w:ilvl w:val="0"/>
          <w:numId w:val="1"/>
        </w:numPr>
        <w:spacing w:after="60"/>
      </w:pPr>
      <w:r>
        <w:t xml:space="preserve">Working-capital cycle cut from 89 to 64 days; inventory days 60 -&gt; 55; trade receivable days 53 -&gt; 35 (screener: 64.6 -&gt; 44.8) — the single biggest driver of the earnings-quality improvement</w:t>
      </w:r>
    </w:p>
    <w:p>
      <w:pPr>
        <w:pStyle w:val="ListParagraph"/>
        <w:numPr>
          <w:ilvl w:val="0"/>
          <w:numId w:val="1"/>
        </w:numPr>
        <w:spacing w:after="60"/>
      </w:pPr>
      <w:r>
        <w:t xml:space="preserve">Domestic capacity 143,400 MT in FY26 (up from 137,400 MT FY25), utilisation ~76% — modest brownfield adds, no large capex raise; capex is being self-funded</w:t>
      </w:r>
    </w:p>
    <w:p>
      <w:pPr>
        <w:pStyle w:val="ListParagraph"/>
        <w:numPr>
          <w:ilvl w:val="0"/>
          <w:numId w:val="1"/>
        </w:numPr>
        <w:spacing w:after="60"/>
      </w:pPr>
      <w:r>
        <w:t xml:space="preserve">Three subsidiaries: Mirabelle Agro Manufacturing (WOS, specialty sulphur), Aries Agro Equipments (WOS), Golden Harvest Middle East FZC (UAE) — UAE operations disrupted by a facility relocation, turnaround still pending</w:t>
      </w:r>
    </w:p>
    <w:p>
      <w:pPr>
        <w:pStyle w:val="ListParagraph"/>
        <w:numPr>
          <w:ilvl w:val="0"/>
          <w:numId w:val="1"/>
        </w:numPr>
        <w:spacing w:after="60"/>
      </w:pPr>
      <w:r>
        <w:t xml:space="preserve">FY26 mix: volume +~1% but value +~19.6% — the growth is price/mix, i.e. a shift up the value-added product curve, not tonnage</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FY25: revenue Rs 804.59 Cr, EBITDA margin 8.98%, PAT ~Rs 33.5 Cr</w:t>
      </w:r>
    </w:p>
    <w:p>
      <w:pPr>
        <w:pStyle w:val="ListParagraph"/>
        <w:numPr>
          <w:ilvl w:val="0"/>
          <w:numId w:val="1"/>
        </w:numPr>
        <w:spacing w:after="60"/>
      </w:pPr>
      <w:r>
        <w:t xml:space="preserve">Q3 FY26: ~Rs 202 Cr sales, ~Rs 17.2 Cr PAT (per third-party note)</w:t>
      </w:r>
    </w:p>
    <w:p>
      <w:pPr>
        <w:pStyle w:val="ListParagraph"/>
        <w:numPr>
          <w:ilvl w:val="0"/>
          <w:numId w:val="1"/>
        </w:numPr>
        <w:spacing w:after="60"/>
      </w:pPr>
      <w:r>
        <w:t xml:space="preserve">FY26 full year: revenue Rs 956.88 Cr (+18.9%), EBITDA margin 9.29%, PAT Rs 42.37 Cr (+26.5%)</w:t>
      </w:r>
    </w:p>
    <w:p>
      <w:pPr>
        <w:pStyle w:val="ListParagraph"/>
        <w:numPr>
          <w:ilvl w:val="0"/>
          <w:numId w:val="1"/>
        </w:numPr>
        <w:spacing w:after="60"/>
      </w:pPr>
      <w:r>
        <w:t xml:space="preserve">Q1 FY27: revenue Rs 185.86 Cr (+16.3% YoY), PAT Rs 14.91 Cr (+48.7% YoY) — PAT growth continues to run well ahead of revenue growth on mix + lower interest</w:t>
      </w:r>
    </w:p>
    <w:p>
      <w:pPr>
        <w:spacing w:after="120"/>
      </w:pPr>
      <w:r>
        <w:rPr>
          <w:b/>
          <w:bCs/>
          <w:sz w:val="20"/>
          <w:szCs w:val="20"/>
        </w:rPr>
        <w:t xml:space="preserve">Exchange announcements (last 6 months):</w:t>
      </w:r>
    </w:p>
    <w:p>
      <w:pPr>
        <w:pStyle w:val="ListParagraph"/>
        <w:numPr>
          <w:ilvl w:val="0"/>
          <w:numId w:val="1"/>
        </w:numPr>
        <w:spacing w:after="60"/>
      </w:pPr>
      <w:r>
        <w:t xml:space="preserve">Aug 2026: Q1 FY27 results approved (Board 11-Aug-2026); PAT +48.7%</w:t>
      </w:r>
    </w:p>
    <w:p>
      <w:pPr>
        <w:pStyle w:val="ListParagraph"/>
        <w:numPr>
          <w:ilvl w:val="0"/>
          <w:numId w:val="1"/>
        </w:numPr>
        <w:spacing w:after="60"/>
      </w:pPr>
      <w:r>
        <w:t xml:space="preserve">Jun 2026: FY26 results + Rs 2.50 dividend</w:t>
      </w:r>
    </w:p>
    <w:p>
      <w:pPr>
        <w:pStyle w:val="ListParagraph"/>
        <w:numPr>
          <w:ilvl w:val="0"/>
          <w:numId w:val="1"/>
        </w:numPr>
        <w:spacing w:after="60"/>
      </w:pPr>
      <w:r>
        <w:t xml:space="preserve">GST appellate authority confirmed a Rs 3.96 Cr demand for FY2018-19 (immaterial)</w:t>
      </w:r>
    </w:p>
    <w:p>
      <w:pPr>
        <w:pStyle w:val="ListParagraph"/>
        <w:numPr>
          <w:ilvl w:val="0"/>
          <w:numId w:val="1"/>
        </w:numPr>
        <w:spacing w:after="60"/>
      </w:pPr>
      <w:r>
        <w:t xml:space="preserve">No fund-raise, no pledge change, no rating action, no auditor/KMP change found in the last 6 months</w:t>
      </w:r>
    </w:p>
    <w:p>
      <w:pPr>
        <w:spacing w:after="120"/>
      </w:pPr>
      <w:r>
        <w:rPr>
          <w:b/>
          <w:bCs/>
          <w:sz w:val="20"/>
          <w:szCs w:val="20"/>
        </w:rPr>
        <w:t xml:space="preserve">Key new facts vs. the prior write-up:</w:t>
      </w:r>
    </w:p>
    <w:p>
      <w:pPr>
        <w:pStyle w:val="ListParagraph"/>
        <w:numPr>
          <w:ilvl w:val="0"/>
          <w:numId w:val="1"/>
        </w:numPr>
        <w:spacing w:after="60"/>
      </w:pPr>
      <w:r>
        <w:t xml:space="preserve">The margin-mix inflection is no longer a one-quarter datapoint — FY26 (PAT +26.5%) and Q1 FY27 (PAT +48.7%) both confirm it</w:t>
      </w:r>
    </w:p>
    <w:p>
      <w:pPr>
        <w:pStyle w:val="ListParagraph"/>
        <w:numPr>
          <w:ilvl w:val="0"/>
          <w:numId w:val="1"/>
        </w:numPr>
        <w:spacing w:after="60"/>
      </w:pPr>
      <w:r>
        <w:t xml:space="preserve">Working-capital cycle cut ~25 days in one year; this is the mechanical engine of the PAT-over-revenue outperformance (less interest)</w:t>
      </w:r>
    </w:p>
    <w:p>
      <w:pPr>
        <w:pStyle w:val="ListParagraph"/>
        <w:numPr>
          <w:ilvl w:val="0"/>
          <w:numId w:val="1"/>
        </w:numPr>
        <w:spacing w:after="60"/>
      </w:pPr>
      <w:r>
        <w:t xml:space="preserve">Valuation is genuinely cheap for the return profile: ~13x earnings / ~1.9x book on 21.2% ROCE with a rising dividend</w:t>
      </w:r>
    </w:p>
    <w:p>
      <w:pPr>
        <w:pStyle w:val="ListParagraph"/>
        <w:numPr>
          <w:ilvl w:val="0"/>
          <w:numId w:val="1"/>
        </w:numPr>
        <w:spacing w:after="60"/>
      </w:pPr>
      <w:r>
        <w:t xml:space="preserve">Management's FY27 guide (~15% PAT on ~6% sales growth) is conservative vs the Q1 run-rate; UAE turnaround is upside not in the base</w:t>
      </w:r>
    </w:p>
    <w:p>
      <w:pPr>
        <w:pStyle w:val="ListParagraph"/>
        <w:numPr>
          <w:ilvl w:val="0"/>
          <w:numId w:val="1"/>
        </w:numPr>
        <w:spacing w:after="60"/>
      </w:pPr>
      <w:r>
        <w:t xml:space="preserve">Balance sheet de-risked: D/E ~15%, 0% promoter pledge</w:t>
      </w:r>
    </w:p>
    <w:p>
      <w:pPr>
        <w:spacing w:after="120"/>
      </w:pPr>
      <w:r>
        <w:rPr>
          <w:b/>
          <w:bCs/>
          <w:sz w:val="20"/>
          <w:szCs w:val="20"/>
        </w:rPr>
        <w:t xml:space="preserve">Open questions / what to watch:</w:t>
      </w:r>
    </w:p>
    <w:p>
      <w:pPr>
        <w:pStyle w:val="ListParagraph"/>
        <w:numPr>
          <w:ilvl w:val="0"/>
          <w:numId w:val="1"/>
        </w:numPr>
        <w:spacing w:after="60"/>
      </w:pPr>
      <w:r>
        <w:t xml:space="preserve">Is the mix-upgrade defensible against ~100 undifferentiated competitors, or does trade-margin competition cap it within a few quarters?</w:t>
      </w:r>
    </w:p>
    <w:p>
      <w:pPr>
        <w:pStyle w:val="ListParagraph"/>
        <w:numPr>
          <w:ilvl w:val="0"/>
          <w:numId w:val="1"/>
        </w:numPr>
        <w:spacing w:after="60"/>
      </w:pPr>
      <w:r>
        <w:t xml:space="preserve">How much of FY26/Q1 FY27 is a transient import-substitution windfall (China export halt) vs a structural shift?</w:t>
      </w:r>
    </w:p>
    <w:p>
      <w:pPr>
        <w:pStyle w:val="ListParagraph"/>
        <w:numPr>
          <w:ilvl w:val="0"/>
          <w:numId w:val="1"/>
        </w:numPr>
        <w:spacing w:after="60"/>
      </w:pPr>
      <w:r>
        <w:t xml:space="preserve">When does the UAE (Mirabelle) facility relocation complete and what is the normalised subsidiary contribution?</w:t>
      </w:r>
    </w:p>
    <w:p>
      <w:pPr>
        <w:pStyle w:val="ListParagraph"/>
        <w:numPr>
          <w:ilvl w:val="0"/>
          <w:numId w:val="1"/>
        </w:numPr>
        <w:spacing w:after="60"/>
      </w:pPr>
      <w:r>
        <w:t xml:space="preserve">Does government price-control risk (IEX-style precedent, flagged by a trusted user) extend to specialty micronutrients?</w:t>
      </w:r>
    </w:p>
    <w:p>
      <w:pPr>
        <w:pStyle w:val="ListParagraph"/>
        <w:numPr>
          <w:ilvl w:val="0"/>
          <w:numId w:val="1"/>
        </w:numPr>
        <w:spacing w:after="60"/>
      </w:pPr>
      <w:r>
        <w:t xml:space="preserve">Can working-capital days keep falling, or is most of the one-time benefit now captured?</w:t>
      </w:r>
    </w:p>
    <w:p>
      <w:pPr>
        <w:spacing w:after="120" w:before="120"/>
      </w:pPr>
      <w:r>
        <w:rPr>
          <w:b/>
          <w:bCs/>
          <w:sz w:val="20"/>
          <w:szCs w:val="20"/>
        </w:rPr>
        <w:t xml:space="preserve">Conviction impact: </w:t>
      </w:r>
      <w:r>
        <w:rPr>
          <w:sz w:val="20"/>
          <w:szCs w:val="20"/>
        </w:rPr>
        <w:t xml:space="preserve">Medium -&gt; Medium. Deep read confirms and extends the inflection (FY26 PAT +26.5%, Q1 FY27 PAT +48.7%, WC cycle 89-&gt;64 days) and the cheap ~13x valuation, but the crowded 'no brand pull' market, the 2018-19 boom-bust precedent, and live regulatory/dumping risks keep conviction capped at Medium.</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Sustain the shift to higher-margin value-added products</w:t>
            </w:r>
          </w:p>
        </w:tc>
        <w:tc>
          <w:tcPr>
            <w:tcW w:type="dxa" w:w="2400"/>
          </w:tcPr>
          <w:p>
            <w:r>
              <w:rPr>
                <w:b w:val="false"/>
                <w:bCs w:val="false"/>
                <w:sz w:val="18"/>
                <w:szCs w:val="18"/>
              </w:rPr>
              <w:t xml:space="preserve">FY26 value +19.6% vs volume +1%; EBITDA margin 8.98% -&gt; 9.29%</w:t>
            </w:r>
          </w:p>
        </w:tc>
        <w:tc>
          <w:tcPr>
            <w:tcW w:type="dxa" w:w="900"/>
          </w:tcPr>
          <w:p>
            <w:r>
              <w:rPr>
                <w:b w:val="false"/>
                <w:bCs w:val="false"/>
                <w:sz w:val="18"/>
                <w:szCs w:val="18"/>
              </w:rPr>
              <w:t xml:space="preserve">FY27</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~15% PAT growth in FY27 on ~6% sales growth</w:t>
            </w:r>
          </w:p>
        </w:tc>
        <w:tc>
          <w:tcPr>
            <w:tcW w:type="dxa" w:w="2400"/>
          </w:tcPr>
          <w:p>
            <w:r>
              <w:rPr>
                <w:b w:val="false"/>
                <w:bCs w:val="false"/>
                <w:sz w:val="18"/>
                <w:szCs w:val="18"/>
              </w:rPr>
              <w:t xml:space="preserve">sales growth per visible advance-booking data; PAT lift from mix + UAE + agro-equipment + margin</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Brownfield capacity additions</w:t>
            </w:r>
          </w:p>
        </w:tc>
        <w:tc>
          <w:tcPr>
            <w:tcW w:type="dxa" w:w="2400"/>
          </w:tcPr>
          <w:p>
            <w:r>
              <w:rPr>
                <w:b w:val="false"/>
                <w:bCs w:val="false"/>
                <w:sz w:val="18"/>
                <w:szCs w:val="18"/>
              </w:rPr>
              <w:t xml:space="preserve">143,400 MT FY26 vs 137,400 MT FY25; utilisation ~76%</w:t>
            </w:r>
          </w:p>
        </w:tc>
        <w:tc>
          <w:tcPr>
            <w:tcW w:type="dxa" w:w="900"/>
          </w:tcPr>
          <w:p>
            <w:r>
              <w:rPr>
                <w:b w:val="false"/>
                <w:bCs w:val="false"/>
                <w:sz w:val="18"/>
                <w:szCs w:val="18"/>
              </w:rPr>
              <w:t xml:space="preserve">FY28</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Turn around the UAE subsidiary (Mirabelle Agro) after its facility relocation</w:t>
            </w:r>
          </w:p>
        </w:tc>
        <w:tc>
          <w:tcPr>
            <w:tcW w:type="dxa" w:w="2400"/>
          </w:tcPr>
          <w:p>
            <w:r>
              <w:rPr>
                <w:b w:val="false"/>
                <w:bCs w:val="false"/>
                <w:sz w:val="18"/>
                <w:szCs w:val="18"/>
              </w:rPr>
              <w:t xml:space="preserve">specialty sulphur products; currently a drag, disrupted by the move</w:t>
            </w:r>
          </w:p>
        </w:tc>
        <w:tc>
          <w:tcPr>
            <w:tcW w:type="dxa" w:w="900"/>
          </w:tcPr>
          <w:p>
            <w:r>
              <w:rPr>
                <w:b w:val="false"/>
                <w:bCs w:val="false"/>
                <w:sz w:val="18"/>
                <w:szCs w:val="18"/>
              </w:rPr>
              <w:t xml:space="preserve">FY27</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shift to value-added / higher-margin SKUs (mix, not tonnage)</w:t>
      </w:r>
      <w:r>
        <w:rPr>
          <w:color w:val="666666"/>
          <w:sz w:val="20"/>
          <w:szCs w:val="20"/>
        </w:rPr>
        <w:t xml:space="preserve"> → </w:t>
      </w:r>
      <w:r>
        <w:rPr>
          <w:b w:val="false"/>
          <w:bCs w:val="false"/>
          <w:sz w:val="20"/>
          <w:szCs w:val="20"/>
        </w:rPr>
        <w:t xml:space="preserve">import-substitution demand (China export halt)</w:t>
      </w:r>
      <w:r>
        <w:rPr>
          <w:color w:val="666666"/>
          <w:sz w:val="20"/>
          <w:szCs w:val="20"/>
        </w:rPr>
        <w:t xml:space="preserve"> → </w:t>
      </w:r>
      <w:r>
        <w:rPr>
          <w:b w:val="false"/>
          <w:bCs w:val="false"/>
          <w:sz w:val="20"/>
          <w:szCs w:val="20"/>
        </w:rPr>
        <w:t xml:space="preserve">revenue growth ~15-19%</w:t>
      </w:r>
      <w:r>
        <w:rPr>
          <w:color w:val="666666"/>
          <w:sz w:val="20"/>
          <w:szCs w:val="20"/>
        </w:rPr>
        <w:t xml:space="preserve"> → </w:t>
      </w:r>
      <w:r>
        <w:rPr>
          <w:b w:val="false"/>
          <w:bCs w:val="false"/>
          <w:sz w:val="20"/>
          <w:szCs w:val="20"/>
        </w:rPr>
        <w:t xml:space="preserve">working-capital cycle compression (89 -&gt; 64 days)</w:t>
      </w:r>
      <w:r>
        <w:rPr>
          <w:color w:val="666666"/>
          <w:sz w:val="20"/>
          <w:szCs w:val="20"/>
        </w:rPr>
        <w:t xml:space="preserve"> → </w:t>
      </w:r>
      <w:r>
        <w:rPr>
          <w:b w:val="false"/>
          <w:bCs w:val="false"/>
          <w:sz w:val="20"/>
          <w:szCs w:val="20"/>
        </w:rPr>
        <w:t xml:space="preserve">lower interest cost -&gt; PBT growing faster than EBITDA</w:t>
      </w:r>
      <w:r>
        <w:rPr>
          <w:color w:val="666666"/>
          <w:sz w:val="20"/>
          <w:szCs w:val="20"/>
        </w:rPr>
        <w:t xml:space="preserve"> → </w:t>
      </w:r>
      <w:r>
        <w:rPr>
          <w:b w:val="false"/>
          <w:bCs w:val="false"/>
          <w:sz w:val="20"/>
          <w:szCs w:val="20"/>
        </w:rPr>
        <w:t xml:space="preserve">PAT growth ~25-49%</w:t>
      </w:r>
      <w:r>
        <w:rPr>
          <w:color w:val="666666"/>
          <w:sz w:val="20"/>
          <w:szCs w:val="20"/>
        </w:rPr>
        <w:t xml:space="preserve"> → </w:t>
      </w:r>
      <w:r>
        <w:rPr>
          <w:b w:val="false"/>
          <w:bCs w:val="false"/>
          <w:sz w:val="20"/>
          <w:szCs w:val="20"/>
        </w:rPr>
        <w:t xml:space="preserve">UAE turnaround + agro-equipment as incremental legs</w:t>
      </w:r>
    </w:p>
    <w:p>
      <w:pPr>
        <w:spacing w:after="120"/>
      </w:pPr>
      <w:r>
        <w:rPr>
          <w:color w:val="666666"/>
          <w:sz w:val="18"/>
          <w:szCs w:val="18"/>
        </w:rPr>
        <w:t xml:space="preserve">Bottleneck link: sustaining the value-added mix against ~100 undifferentiated competitors.</w:t>
      </w:r>
    </w:p>
    <w:p>
      <w:pPr>
        <w:spacing w:after="120"/>
      </w:pPr>
      <w:r>
        <w:rPr>
          <w:color w:val="666666"/>
          <w:sz w:val="18"/>
          <w:szCs w:val="18"/>
        </w:rPr>
        <w:t xml:space="preserve">Operating leverage: yes — PBT (+35.8%) and PAT (+26.5%) grew well ahead of EBITDA (+22.9%) in FY26 on lower interest and mix; Q1 FY27 PAT +48.7% on +16.3% revenue</w:t>
      </w:r>
    </w:p>
    <w:p>
      <w:pPr>
        <w:spacing w:after="120"/>
      </w:pPr>
      <w:r>
        <w:rPr>
          <w:color w:val="666666"/>
          <w:sz w:val="18"/>
          <w:szCs w:val="18"/>
        </w:rPr>
        <w:t xml:space="preserve">Evidenced: shift to value-added / higher-margin SKUs (mix, not tonnage); revenue growth ~15-19%; working-capital cycle compression (89 -&gt; 64 days); lower interest cost -&gt; PBT growing faster than EBITDA; PAT growth ~25-49%. Still assumed: import-substitution demand (China export halt); UAE turnaround + agro-equipment as incremental legs.</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2026-09-08</w:t>
            </w:r>
          </w:p>
        </w:tc>
      </w:tr>
      <w:tr>
        <w:tc>
          <w:tcPr>
            <w:tcW w:type="dxa" w:w="3200"/>
            <w:shd w:fill="F2F2F2" w:val="clear"/>
          </w:tcPr>
          <w:p>
            <w:r>
              <w:rPr>
                <w:b/>
                <w:bCs/>
              </w:rPr>
              <w:t xml:space="preserve">Price / multiple</w:t>
            </w:r>
          </w:p>
        </w:tc>
        <w:tc>
          <w:tcPr>
            <w:tcW w:type="dxa" w:w="5800"/>
          </w:tcPr>
          <w:p>
            <w:r>
              <w:t xml:space="preserve">Rs 483 · 13x P/E · 8x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~10-12% EPS CAGR FY26-28 is enough to justify ~13x today against an ~18x steady-compounder exit — a low bar</w:t>
            </w:r>
          </w:p>
        </w:tc>
      </w:tr>
      <w:tr>
        <w:tc>
          <w:tcPr>
            <w:tcW w:type="dxa" w:w="3200"/>
            <w:shd w:fill="F2F2F2" w:val="clear"/>
          </w:tcPr>
          <w:p>
            <w:r>
              <w:rPr>
                <w:b/>
                <w:bCs/>
              </w:rPr>
              <w:t xml:space="preserve">Our FY27</w:t>
            </w:r>
          </w:p>
        </w:tc>
        <w:tc>
          <w:tcPr>
            <w:tcW w:type="dxa" w:w="5800"/>
          </w:tcPr>
          <w:p>
            <w:r>
              <w:t xml:space="preserve">revenue +12-16% to ~Rs 1,080-1,110 Cr; EBITDA margin drifting to ~9.5%; PAT +25-35% to ~Rs 54-57 Cr (Q1 ran +48.7%), ahead of management's conservative ~15% guide</w:t>
            </w:r>
          </w:p>
        </w:tc>
      </w:tr>
      <w:tr>
        <w:tc>
          <w:tcPr>
            <w:tcW w:type="dxa" w:w="3200"/>
            <w:shd w:fill="F2F2F2" w:val="clear"/>
          </w:tcPr>
          <w:p>
            <w:r>
              <w:rPr>
                <w:b/>
                <w:bCs/>
              </w:rPr>
              <w:t xml:space="preserve">Our FY28</w:t>
            </w:r>
          </w:p>
        </w:tc>
        <w:tc>
          <w:tcPr>
            <w:tcW w:type="dxa" w:w="5800"/>
          </w:tcPr>
          <w:p>
            <w:r>
              <w:t xml:space="preserve">revenue +12-15%; UAE + agro-equipment add a leg; PAT +18-25% to ~Rs 65-70 Cr</w:t>
            </w:r>
          </w:p>
        </w:tc>
      </w:tr>
      <w:tr>
        <w:tc>
          <w:tcPr>
            <w:tcW w:type="dxa" w:w="3200"/>
            <w:shd w:fill="F2F2F2" w:val="clear"/>
          </w:tcPr>
          <w:p>
            <w:r>
              <w:rPr>
                <w:b/>
                <w:bCs/>
              </w:rPr>
              <w:t xml:space="preserve">Gap direction</w:t>
            </w:r>
          </w:p>
        </w:tc>
        <w:tc>
          <w:tcPr>
            <w:tcW w:type="dxa" w:w="5800"/>
          </w:tcPr>
          <w:p>
            <w:r>
              <w:t xml:space="preserve">underestimated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30% (our FY28 PAT vs implied)</w:t>
            </w:r>
          </w:p>
        </w:tc>
      </w:tr>
      <w:tr>
        <w:tc>
          <w:tcPr>
            <w:tcW w:type="dxa" w:w="3200"/>
            <w:shd w:fill="F2F2F2" w:val="clear"/>
          </w:tcPr>
          <w:p>
            <w:r>
              <w:rPr>
                <w:b/>
                <w:bCs/>
              </w:rPr>
              <w:t xml:space="preserve">Gap basis</w:t>
            </w:r>
          </w:p>
        </w:tc>
        <w:tc>
          <w:tcPr>
            <w:tcW w:type="dxa" w:w="5800"/>
          </w:tcPr>
          <w:p>
            <w:r>
              <w:t xml:space="preserve">The multiple prices ~10-12% EPS growth; the working-capital-led interest reduction plus the value-added mix are already delivering 25-49% PAT growth, and the UAE leg is not in the price</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Two more quarters sustaining the margin-mix + working-capital gains, plus a visible UAE (Mirabelle) contribution once the facility relocation completes</w:t>
      </w:r>
      <w:r>
        <w:rPr>
          <w:color w:val="666666"/>
          <w:sz w:val="18"/>
          <w:szCs w:val="18"/>
        </w:rPr>
        <w:t xml:space="preserve"> (window ~9M from 2026-09-08;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specialty plant nutrition / micronutrients / fertilizer import substitution</w:t>
            </w:r>
          </w:p>
        </w:tc>
      </w:tr>
      <w:tr>
        <w:tc>
          <w:tcPr>
            <w:tcW w:type="dxa" w:w="3200"/>
            <w:shd w:fill="F2F2F2" w:val="clear"/>
          </w:tcPr>
          <w:p>
            <w:r>
              <w:rPr>
                <w:b/>
                <w:bCs/>
              </w:rPr>
              <w:t xml:space="preserve">This company's position</w:t>
            </w:r>
          </w:p>
        </w:tc>
        <w:tc>
          <w:tcPr>
            <w:tcW w:type="dxa" w:w="5800"/>
          </w:tcPr>
          <w:p>
            <w:r>
              <w:t xml:space="preserve">mid-size branded micronutrient and water-soluble specialty-fertilizer maker (~134 SKUs), pan-India dealer network, plus a UAE specialty-sulphur subsidiary</w:t>
            </w:r>
          </w:p>
        </w:tc>
      </w:tr>
      <w:tr>
        <w:tc>
          <w:tcPr>
            <w:tcW w:type="dxa" w:w="3200"/>
            <w:shd w:fill="F2F2F2" w:val="clear"/>
          </w:tcPr>
          <w:p>
            <w:r>
              <w:rPr>
                <w:b/>
                <w:bCs/>
              </w:rPr>
              <w:t xml:space="preserve">Bottleneck node (pricing power)</w:t>
            </w:r>
          </w:p>
        </w:tc>
        <w:tc>
          <w:tcPr>
            <w:tcW w:type="dxa" w:w="5800"/>
          </w:tcPr>
          <w:p>
            <w:r>
              <w:t xml:space="preserve">dealer credit terms and distribution reach in a fragmented, low-brand-loyalty market</w:t>
            </w:r>
          </w:p>
        </w:tc>
      </w:tr>
      <w:tr>
        <w:tc>
          <w:tcPr>
            <w:tcW w:type="dxa" w:w="3200"/>
            <w:shd w:fill="F2F2F2" w:val="clear"/>
          </w:tcPr>
          <w:p>
            <w:r>
              <w:rPr>
                <w:b/>
                <w:bCs/>
              </w:rPr>
              <w:t xml:space="preserve">Supply-side status</w:t>
            </w:r>
          </w:p>
        </w:tc>
        <w:tc>
          <w:tcPr>
            <w:tcW w:type="dxa" w:w="5800"/>
          </w:tcPr>
          <w:p>
            <w:r>
              <w:t xml:space="preserve">unclear</w:t>
            </w:r>
          </w:p>
        </w:tc>
      </w:tr>
      <w:tr>
        <w:tc>
          <w:tcPr>
            <w:tcW w:type="dxa" w:w="3200"/>
            <w:shd w:fill="F2F2F2" w:val="clear"/>
          </w:tcPr>
          <w:p>
            <w:r>
              <w:rPr>
                <w:b/>
                <w:bCs/>
              </w:rPr>
              <w:t xml:space="preserve">Adjacent-node peers</w:t>
            </w:r>
          </w:p>
        </w:tc>
        <w:tc>
          <w:tcPr>
            <w:tcW w:type="dxa" w:w="5800"/>
          </w:tcPr>
          <w:p>
            <w:r>
              <w:t xml:space="preserve">Coromandel International (nutrient/specialty), Deepak Fertilisers &amp; Petrochemicals, Basant Agro Tech, Nagarjuna Agrichem / Dhanuka (agri-input adjacency)</w:t>
            </w:r>
          </w:p>
        </w:tc>
      </w:tr>
    </w:tbl>
    <w:p>
      <w:pPr>
        <w:spacing w:after="120"/>
      </w:pPr>
      <w:r>
        <w:rPr>
          <w:color w:val="666666"/>
          <w:sz w:val="18"/>
          <w:szCs w:val="18"/>
        </w:rPr>
        <w:t xml:space="preserve">The organised specialty-micronutrient market is real but fragmented; a 2018 industry-insider account describes ~100 similar sellers with 'no brand pull' competing on credit period and trade margin. No visible consolidation. Aries' edge is scale + SKU breadth + a 50-year dealer network + (now) working-capital discipline, not pricing power.</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w:r>
    </w:p>
    <w:p>
      <w:pPr>
        <w:spacing w:after="120"/>
      </w:pPr>
      <w:r>
        <w:rPr>
          <w:color w:val="666666"/>
          <w:sz w:val="18"/>
          <w:szCs w:val="18"/>
        </w:rPr>
        <w:t xml:space="preserve">Drivers: shift to higher-margin value-added products (structural mix-up); working-capital compression cutting interest cost (structural, one-time step); import-substitution demand from China's fertilizer export halt (cyclical/policy-driven).</w:t>
      </w:r>
    </w:p>
    <w:p>
      <w:pPr>
        <w:spacing w:after="120"/>
      </w:pPr>
      <w:r>
        <w:rPr>
          <w:color w:val="666666"/>
          <w:sz w:val="18"/>
          <w:szCs w:val="18"/>
        </w:rPr>
        <w:t xml:space="preserve">EBITDA margin ~9.3% is not elevated versus history (8-9% range); the improvement is modest and comes mostly from mix and lower interest, not a margin spike. Downside risk is that trade-margin competition erodes the value-added mix, not that a peak margin mean-reverts.</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Revenue YoY has been a steady mid-teens (~16-19%); PAT YoY has accelerated: FY25 ~+? , FY26 +26.5%, Q1 FY27 +48.7% — PAT is compounding faster than revenue on mix + interest reduction</w:t>
      </w:r>
    </w:p>
    <w:p>
      <w:pPr>
        <w:spacing w:after="120"/>
      </w:pPr>
      <w:r>
        <w:rPr>
          <w:color w:val="666666"/>
          <w:sz w:val="18"/>
          <w:szCs w:val="18"/>
        </w:rPr>
        <w:t xml:space="preserve">Reverse P/E: ~13x trailing needs only ~10-12% EPS CAGR at an ~18x exit; recent PAT growth of 25-49% comfortably clears it, so the rate of change is running well ahead of what the multiple requires — provided it is not a windfall</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Self-funded brownfield capacity, no dilution; reinvestment earning ~21% ROCE; UAE subsidiary has been a multi-year drag now under relocation; history includes the 2018 Kedia-era hype and confusing shareholding disclosures, since cleaner (neutral)</w:t>
            </w:r>
          </w:p>
        </w:tc>
      </w:tr>
      <w:tr>
        <w:tc>
          <w:tcPr>
            <w:tcW w:type="dxa" w:w="3200"/>
            <w:shd w:fill="F2F2F2" w:val="clear"/>
          </w:tcPr>
          <w:p>
            <w:r>
              <w:rPr>
                <w:b/>
                <w:bCs/>
              </w:rPr>
              <w:t xml:space="preserve">Related-party trend</w:t>
            </w:r>
          </w:p>
        </w:tc>
        <w:tc>
          <w:tcPr>
            <w:tcW w:type="dxa" w:w="5800"/>
          </w:tcPr>
          <w:p>
            <w:r>
              <w:t xml:space="preserve">flat</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Explicit 'value-added products' push — new launches (Aries Ecoshield, Majorsol, Calmax, Zinc HD Gold) and agro-equipment innovation cited as moving up the specialty curve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21.2% (improving)</w:t>
            </w:r>
          </w:p>
        </w:tc>
      </w:tr>
      <w:tr>
        <w:tc>
          <w:tcPr>
            <w:tcW w:type="dxa" w:w="3200"/>
            <w:shd w:fill="F2F2F2" w:val="clear"/>
          </w:tcPr>
          <w:p>
            <w:r>
              <w:rPr>
                <w:b/>
                <w:bCs/>
              </w:rPr>
              <w:t xml:space="preserve">Leverage</w:t>
            </w:r>
          </w:p>
        </w:tc>
        <w:tc>
          <w:tcPr>
            <w:tcW w:type="dxa" w:w="5800"/>
          </w:tcPr>
          <w:p>
            <w:r>
              <w:t xml:space="preserve">Net debt/EBITDA 0.8x</w:t>
            </w:r>
          </w:p>
        </w:tc>
      </w:tr>
      <w:tr>
        <w:tc>
          <w:tcPr>
            <w:tcW w:type="dxa" w:w="3200"/>
            <w:shd w:fill="F2F2F2" w:val="clear"/>
          </w:tcPr>
          <w:p>
            <w:r>
              <w:rPr>
                <w:b/>
                <w:bCs/>
              </w:rPr>
              <w:t xml:space="preserve">FCF conversion</w:t>
            </w:r>
          </w:p>
        </w:tc>
        <w:tc>
          <w:tcPr>
            <w:tcW w:type="dxa" w:w="5800"/>
          </w:tcPr>
          <w:p>
            <w:r>
              <w:t xml:space="preserve">35%</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2 of the last 5 years (consistency_score 40)</w:t>
      </w:r>
    </w:p>
    <w:p>
      <w:pPr>
        <w:spacing w:after="120"/>
      </w:pPr>
      <w:r>
        <w:rPr>
          <w:color w:val="666666"/>
          <w:sz w:val="18"/>
          <w:szCs w:val="18"/>
        </w:rPr>
        <w:t xml:space="preserve">Of FY22-FY26 (verifiable from recent filings): FY25 and FY26 clear the bar of BOTH revenue growth &gt;=10% AND ROCE &gt;=15% in the same year (FY26 revenue +18.9%, ROCE ~21%; FY25 similar). FY22-FY24 fail on ROCE (3-yr avg ROE only ~11.4%, ROCE below ~15% in the earlier years) and/or patchy growth — consistent with the 2019 forum critique of a decade of near-flat PAT. The pass rate is a recent-vintage improvement, not a long consistency record.</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50 of 120 posts (2018-2026, first-time analysis). Long arc: 2018 Vijay-Kedia-driven retail hype and confusing shareholding-disclosure disputes, followed by a sharp crash and multi-year skepticism (2019, 'this company is just chaff'), then a 2025-2026 revival narrative built on import substitution (China halting fertilizer exports to India), a value/margin-mix inflection, and working-capital discipline. FY26 and Q1 FY27 prints have since validated the operational leg of that revival.</w:t>
      </w:r>
    </w:p>
    <w:p>
      <w:pPr>
        <w:spacing w:after="120"/>
      </w:pPr>
      <w:r>
        <w:rPr>
          <w:b/>
          <w:bCs/>
          <w:sz w:val="20"/>
          <w:szCs w:val="20"/>
        </w:rPr>
        <w:t xml:space="preserve">High-conviction call from a top contributor: </w:t>
      </w:r>
      <w:r>
        <w:rPr>
          <w:sz w:val="20"/>
          <w:szCs w:val="20"/>
        </w:rPr>
        <w:t xml:space="preserve">vikasbargale (trusted, elevated) flagged the business as cash-positive for a decade with drastically improving debtor days/cash-conversion/working-capital cycles at 'such valuations' (Aug-2025), but also explicitly flagged regulatory price-control risk (citing the IEX precedent) and Chinese dumping risk as real caveats (Oct-2025). pranavpallod12 (trusted, elevated) built the 'turnaround &amp; import-substitution' thesis (Dec-2025, 9 loves) and most recently (Sep-2026, same-day posts) confirmed FY26 was a 'brilliant performance... without one of the major turnaround catalysts (UAE operations)' still to come, guiding ~15% PAT growth for FY27. Countervailing, older but substantive: a working-in-industry distributor (RadheyShyam_Aggarwal, 9 loves, 2018) said there's 'no brand pull' and ~100 similar micronutrient sellers compete purely on credit terms and margin-to-trade — a real, unresolved differentiation question the recent bulls don't directly address.</w:t>
      </w:r>
    </w:p>
    <w:p>
      <w:pPr>
        <w:pStyle w:val="Heading1"/>
        <w:spacing w:after="120" w:before="280"/>
      </w:pPr>
      <w:r>
        <w:t xml:space="preserve">BSE Corporate Actions / Other Red Flags</w:t>
      </w:r>
    </w:p>
    <w:p>
      <w:pPr>
        <w:spacing w:after="120"/>
      </w:pPr>
      <w:r>
        <w:t xml:space="preserve">Chairman's FY26 speech (per SITARA, Sep-2025) cites new product launches (Aries Ecoshield, Majorsol Soybean &amp; Pulses Special, Calmax, Zinc HD Gold) and equipment innovations. Q1 FY27 board meeting 11-Aug-2026. GST appellate authority confirmed a Rs 3.96 Cr demand for FY2018-19 (immaterial). No SEBI/fraud action found; promoter pledge 0%.</w:t>
      </w:r>
    </w:p>
    <w:p>
      <w:pPr>
        <w:pStyle w:val="Heading1"/>
        <w:spacing w:after="120" w:before="280"/>
      </w:pPr>
      <w:r>
        <w:t xml:space="preserve">Bull Case</w:t>
      </w:r>
    </w:p>
    <w:p>
      <w:pPr>
        <w:pStyle w:val="ListParagraph"/>
        <w:numPr>
          <w:ilvl w:val="0"/>
          <w:numId w:val="1"/>
        </w:numPr>
        <w:spacing w:after="60"/>
      </w:pPr>
      <w:r>
        <w:t xml:space="preserve">Genuine, now twice-confirmed margin-quality inflection: FY26 value growth (~19.6%) far outpaces volume growth (~1%); FY26 PAT +26.5%, Q1 FY27 PAT +48.7% on +16.3% revenue — mix-shift to higher-margin value-added products, not just price hikes</w:t>
      </w:r>
    </w:p>
    <w:p>
      <w:pPr>
        <w:pStyle w:val="ListParagraph"/>
        <w:numPr>
          <w:ilvl w:val="0"/>
          <w:numId w:val="1"/>
        </w:numPr>
        <w:spacing w:after="60"/>
      </w:pPr>
      <w:r>
        <w:t xml:space="preserve">Balance-sheet transformation: working-capital cycle 89 -&gt; 64 days, debtor days sharply lower, D/E down to ~15% — cutting interest drag and freeing cash; independently verified by a trusted user as a decade-long improving trend</w:t>
      </w:r>
    </w:p>
    <w:p>
      <w:pPr>
        <w:pStyle w:val="ListParagraph"/>
        <w:numPr>
          <w:ilvl w:val="0"/>
          <w:numId w:val="1"/>
        </w:numPr>
        <w:spacing w:after="60"/>
      </w:pPr>
      <w:r>
        <w:t xml:space="preserve">Import-substitution tailwind is specific and news-backed: China halted fertilizer exports to India; Aries doesn't source raw material from China and isn't in the general NPK/urea category subject to price control</w:t>
      </w:r>
    </w:p>
    <w:p>
      <w:pPr>
        <w:pStyle w:val="ListParagraph"/>
        <w:numPr>
          <w:ilvl w:val="0"/>
          <w:numId w:val="1"/>
        </w:numPr>
        <w:spacing w:after="60"/>
      </w:pPr>
      <w:r>
        <w:t xml:space="preserve">Cheap: ~13x earnings / ~1.9x book against 21.2% ROCE, a rising dividend (Rs 2.50 FY26), 0% promoter pledge, and 5-yr sales/PAT CAGR of 15%/19%</w:t>
      </w:r>
    </w:p>
    <w:p>
      <w:pPr>
        <w:pStyle w:val="ListParagraph"/>
        <w:numPr>
          <w:ilvl w:val="0"/>
          <w:numId w:val="1"/>
        </w:numPr>
        <w:spacing w:after="60"/>
      </w:pPr>
      <w:r>
        <w:t xml:space="preserve">UAE subsidiary (Mirabelle Agro), disrupted by a facility relocation, is a stated future catalyst not yet in FY26/Q1 FY27 numbers; management's ~15% FY27 PAT guide looks conservative vs the Q1 run-rate</w:t>
      </w:r>
    </w:p>
    <w:p>
      <w:pPr>
        <w:pStyle w:val="Heading1"/>
        <w:spacing w:after="120" w:before="280"/>
      </w:pPr>
      <w:r>
        <w:t xml:space="preserve">Bear Case / Key Risks</w:t>
      </w:r>
    </w:p>
    <w:p>
      <w:pPr>
        <w:pStyle w:val="ListParagraph"/>
        <w:numPr>
          <w:ilvl w:val="0"/>
          <w:numId w:val="1"/>
        </w:numPr>
        <w:spacing w:after="60"/>
      </w:pPr>
      <w:r>
        <w:t xml:space="preserve">Unresolved differentiation question from an industry-insider distributor: ~100 similarly-sized companies sell comparable micronutrients with 'no brand pull,' competing purely on credit period and trade margin — this directly undercuts the 'chelation technology leadership' framing and caps pricing power</w:t>
      </w:r>
    </w:p>
    <w:p>
      <w:pPr>
        <w:pStyle w:val="ListParagraph"/>
        <w:numPr>
          <w:ilvl w:val="0"/>
          <w:numId w:val="1"/>
        </w:numPr>
        <w:spacing w:after="60"/>
      </w:pPr>
      <w:r>
        <w:t xml:space="preserve">10-year PAT growth prior to the recent inflection was extremely weak (Rs 5 Cr to Rs 8 Cr per a detailed 2019 forum critique) — a real history of disappointing, and the current bull narrative echoes some of the 2018 'story stock' pattern</w:t>
      </w:r>
    </w:p>
    <w:p>
      <w:pPr>
        <w:pStyle w:val="ListParagraph"/>
        <w:numPr>
          <w:ilvl w:val="0"/>
          <w:numId w:val="1"/>
        </w:numPr>
        <w:spacing w:after="60"/>
      </w:pPr>
      <w:r>
        <w:t xml:space="preserve">Already lived through one full hype-and-crash cycle (2018 Vijay-Kedia rally, &gt;50% crash by 2019)</w:t>
      </w:r>
    </w:p>
    <w:p>
      <w:pPr>
        <w:pStyle w:val="ListParagraph"/>
        <w:numPr>
          <w:ilvl w:val="0"/>
          <w:numId w:val="1"/>
        </w:numPr>
        <w:spacing w:after="60"/>
      </w:pPr>
      <w:r>
        <w:t xml:space="preserve">Regulatory price-control risk (trusted user cites the IEX precedent) and Chinese-dumping risk both remain live, unresolved threats</w:t>
      </w:r>
    </w:p>
    <w:p>
      <w:pPr>
        <w:pStyle w:val="ListParagraph"/>
        <w:numPr>
          <w:ilvl w:val="0"/>
          <w:numId w:val="1"/>
        </w:numPr>
        <w:spacing w:after="60"/>
      </w:pPr>
      <w:r>
        <w:t xml:space="preserve">A literal 10x in 2-3 years from ~Rs 627 Cr requires ~78% CAGR the business is not delivering (it is a ~15-20% grower); the label here reflects a high-return small-cap re-rating candidate at capped conviction, not a base case</w:t>
      </w:r>
    </w:p>
    <w:p>
      <w:pPr>
        <w:pStyle w:val="Heading1"/>
        <w:spacing w:after="120" w:before="280"/>
      </w:pPr>
      <w:r>
        <w:t xml:space="preserve">Market-Cap Tier (informational — not a gate in this project)</w:t>
      </w:r>
    </w:p>
    <w:p>
      <w:pPr>
        <w:spacing w:after="120"/>
      </w:pPr>
      <w:r>
        <w:rPr>
          <w:b/>
          <w:bCs/>
        </w:rPr>
        <w:t xml:space="preserve">Small-cap (~Rs 627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weak · moat: weak · valuation: yes  (score 3 / 4)</w:t>
      </w:r>
    </w:p>
    <w:p>
      <w:pPr>
        <w:spacing w:after="120"/>
      </w:pPr>
      <w:r>
        <w:rPr>
          <w:i/>
          <w:iCs/>
          <w:color w:val="666666"/>
          <w:sz w:val="20"/>
          <w:szCs w:val="20"/>
        </w:rPr>
        <w:t xml:space="preserve">Tailwind yes: low micronutrient penetration in Indian agriculture + a genuine, now twice-confirmed value/mix inflection (FY26 value +19.6% vs volume +1%; Q1 FY27 PAT +48.7%) + a specific sourced import-substitution catalyst (China halted fertilizer exports to India). TAM weak: micronutrient/specialty-fertilizer niche is real but fragmented — an industry-insider trusted account describes ~100 similar competitors, limiting the headroom for a 10x. Moat weak: 'chelation technology leadership' is contested in-thread by someone in the distribution trade ('no brand pull'; competition on credit terms). Valuation yes: ~Rs 627 Cr cap / ~13x earnings / ~1.9x book against 21.2% ROCE, rising dividend, 0% pledge, and a sharply improving working-capital profile. Score 3.0 -&gt; 10x label permitted, conviction caps at Medium.</w:t>
      </w:r>
    </w:p>
    <w:p>
      <w:pPr>
        <w:pStyle w:val="Heading1"/>
        <w:spacing w:after="120" w:before="280"/>
      </w:pPr>
      <w:r>
        <w:t xml:space="preserve">Verdict</w:t>
      </w:r>
    </w:p>
    <w:p>
      <w:pPr>
        <w:spacing w:after="120"/>
      </w:pPr>
      <w:r>
        <w:rPr>
          <w:b/>
          <w:bCs/>
          <w:sz w:val="24"/>
          <w:szCs w:val="24"/>
        </w:rPr>
        <w:t xml:space="preserve">A real, now twice-confirmed margin-mix and working-capital inflection at a cheap ~13x, held back by a crowded 'no brand pull' market and a prior boom-bust — high-return small-cap re-rating candidate at capped (Medium) conviction</w:t>
      </w:r>
    </w:p>
    <w:p>
      <w:pPr>
        <w:pStyle w:val="ListParagraph"/>
        <w:numPr>
          <w:ilvl w:val="0"/>
          <w:numId w:val="1"/>
        </w:numPr>
        <w:spacing w:after="60"/>
      </w:pPr>
      <w:r>
        <w:t xml:space="preserve">Trailing-average-vs-live-inflection rule applied directly: weak historical (10-yr) profit growth plus a genuine, quantified and now repeated recent inflection (FY26 value +19.6% on +1% volume, PAT +26.5%; Q1 FY27 PAT +48.7%) and a specific, sourced catalyst (China export halt / import substitution) — permits the 10x label at capped conviction with an explicit unconfirmed caveat.</w:t>
      </w:r>
    </w:p>
    <w:p>
      <w:pPr>
        <w:pStyle w:val="ListParagraph"/>
        <w:numPr>
          <w:ilvl w:val="0"/>
          <w:numId w:val="1"/>
        </w:numPr>
        <w:spacing w:after="60"/>
      </w:pPr>
      <w:r>
        <w:t xml:space="preserve">Pass-1 deep read strengthens the operational case: working-capital cycle cut from 89 to 64 days, debtor days sharply down, D/E ~15%, ROCE 21.2%, dividend raised, 0% pledge; valuation still only ~13x / ~1.9x book. The Q1 FY27 run-rate is already beating management's conservative ~15% FY27 PAT guide, and the UAE turnaround is not yet in the numbers.</w:t>
      </w:r>
    </w:p>
    <w:p>
      <w:pPr>
        <w:pStyle w:val="ListParagraph"/>
        <w:numPr>
          <w:ilvl w:val="0"/>
          <w:numId w:val="1"/>
        </w:numPr>
        <w:spacing w:after="60"/>
      </w:pPr>
      <w:r>
        <w:t xml:space="preserve">Four-box held at 3.0 (tailwind yes, valuation yes, tam weak, moat weak). Moat and TAM kept weak because the trusted industry-insider's 'no brand pull, ~100 similar sellers' critique is unrebutted by the recent bulls and is a genuine ceiling on pricing power and share capture.</w:t>
      </w:r>
    </w:p>
    <w:p>
      <w:pPr>
        <w:pStyle w:val="ListParagraph"/>
        <w:numPr>
          <w:ilvl w:val="0"/>
          <w:numId w:val="1"/>
        </w:numPr>
        <w:spacing w:after="60"/>
      </w:pPr>
      <w:r>
        <w:t xml:space="preserve">Conviction held at Medium: the operational execution and cheap valuation argue for more, but the crowded-market differentiation question, the 2018-19 boom-bust precedent, and live regulatory/Chinese-dumping risks flagged by a trusted user keep it capped. Upgrade trigger: two more quarters of sustained margin-mix gains plus visible UAE contribution.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Aries Agro Ltd</w:t>
      </w:r>
    </w:p>
    <w:p>
      <w:pPr>
        <w:ind w:left="360"/>
      </w:pPr>
      <w:r>
        <w:t xml:space="preserve">  • Conviction: Not rated</w:t>
      </w:r>
    </w:p>
    <w:p>
      <w:pPr>
        <w:ind w:left="360"/>
      </w:pPr>
      <w:r>
        <w:t xml:space="preserve">  • Thesis: 10x-in-2-3-years</w:t>
      </w:r>
    </w:p>
    <w:p>
      <w:pPr>
        <w:ind w:left="360"/>
      </w:pPr>
      <w:r>
        <w:t xml:space="preserve">  • 4-Box Score: 3.0</w:t>
      </w:r>
    </w:p>
    <w:p>
      <w:pPr>
        <w:ind w:left="360"/>
      </w:pPr>
      <w:r>
        <w:t xml:space="preserve">  • Research Date: 2026-09-28</w:t>
      </w:r>
    </w:p>
    <w:p>
      <w:pPr>
        <w:ind w:left="360"/>
      </w:pPr>
      <w:r>
        <w:t xml:space="preserve">  • Red Flag: None</w:t>
      </w:r>
    </w:p>
    <w:p/>
    <w:p>
      <w:r>
        <w:rPr>
          <w:b/>
        </w:rPr>
        <w:t>📝 Verdict:</w:t>
      </w:r>
    </w:p>
    <w:p>
      <w:pPr>
        <w:ind w:left="360"/>
      </w:pPr>
      <w:r>
        <w:t>A real, now twice-confirmed margin-mix and working-capital inflection at a cheap ~13x, held back by a crowded 'no brand pull' market and a prior boom-bust — high-return small-cap re-rating candidate at capped (Medium) conviction</w:t>
      </w:r>
    </w:p>
    <w:p/>
    <w:p>
      <w:r>
        <w:rPr>
          <w:b/>
        </w:rPr>
        <w:t>📈 Bull Case:</w:t>
      </w:r>
    </w:p>
    <w:p>
      <w:pPr>
        <w:ind w:left="360"/>
      </w:pPr>
      <w:r>
        <w:t>Genuine, now twice-confirmed margin-quality inflection: FY26 value growth (~19.6%) far outpaces volume growth (~1%); FY26 PAT +26.5%, Q1 FY27 PAT +48.7% on +16.3% revenue — mix-shift to higher-margin value-added products, not just price hikes</w:t>
      </w:r>
    </w:p>
    <w:p>
      <w:pPr>
        <w:ind w:left="360"/>
      </w:pPr>
      <w:r>
        <w:t>Balance-sheet transformation: working-capital cycle 89 -&gt; 64 days, debtor days sharply lower, D/E down to ~15% — cutting interest drag and freeing cash; independently verified by a trusted user as a decade-long improving trend</w:t>
      </w:r>
    </w:p>
    <w:p>
      <w:pPr>
        <w:ind w:left="360"/>
      </w:pPr>
      <w:r>
        <w:t>Import-substitution tailwind is specific and news-backed: China halted fertilizer exports to India; Aries doesn't source raw material from China and isn't in the general NPK/urea category subject to price control</w:t>
      </w:r>
    </w:p>
    <w:p>
      <w:pPr>
        <w:ind w:left="360"/>
      </w:pPr>
      <w:r>
        <w:t>Cheap: ~13x earnings / ~1.9x book against 21.2% ROCE, a rising dividend (Rs 2.50 FY26), 0% promoter pledge, and 5-yr sales/PAT CAGR of 15%/19%</w:t>
      </w:r>
    </w:p>
    <w:p>
      <w:pPr>
        <w:ind w:left="360"/>
      </w:pPr>
      <w:r>
        <w:t>UAE subsidiary (Mirabelle Agro), disrupted by a facility relocation, is a stated future catalyst not yet in FY26/Q1 FY27 numbers; management's ~15% FY27 PAT guide looks conservative vs the Q1 run-rate</w:t>
      </w:r>
    </w:p>
    <w:p/>
    <w:p>
      <w:r>
        <w:rPr>
          <w:b/>
        </w:rPr>
        <w:t>📉 Bear Case:</w:t>
      </w:r>
    </w:p>
    <w:p>
      <w:pPr>
        <w:ind w:left="360"/>
      </w:pPr>
      <w:r>
        <w:t>Unresolved differentiation question from an industry-insider distributor: ~100 similarly-sized companies sell comparable micronutrients with 'no brand pull,' competing purely on credit period and trade margin — this directly undercuts the 'chelation technology leadership' framing and caps pricing power</w:t>
      </w:r>
    </w:p>
    <w:p>
      <w:pPr>
        <w:ind w:left="360"/>
      </w:pPr>
      <w:r>
        <w:t>10-year PAT growth prior to the recent inflection was extremely weak (Rs 5 Cr to Rs 8 Cr per a detailed 2019 forum critique) — a real history of disappointing, and the current bull narrative echoes some of the 2018 'story stock' pattern</w:t>
      </w:r>
    </w:p>
    <w:p>
      <w:pPr>
        <w:ind w:left="360"/>
      </w:pPr>
      <w:r>
        <w:t>Already lived through one full hype-and-crash cycle (2018 Vijay-Kedia rally, &gt;50% crash by 2019)</w:t>
      </w:r>
    </w:p>
    <w:p>
      <w:pPr>
        <w:ind w:left="360"/>
      </w:pPr>
      <w:r>
        <w:t>Regulatory price-control risk (trusted user cites the IEX precedent) and Chinese-dumping risk both remain live, unresolved threats</w:t>
      </w:r>
    </w:p>
    <w:p>
      <w:pPr>
        <w:ind w:left="360"/>
      </w:pPr>
      <w:r>
        <w:t>A literal 10x in 2-3 years from ~Rs 627 Cr requires ~78% CAGR the business is not delivering (it is a ~15-20% grower); the label here reflects a high-return small-cap re-rating candidate at capped conviction, not a base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2026-09-08T14:20:02.429Z</dcterms:created>
  <dcterms:modified xsi:type="dcterms:W3CDTF">2026-09-08T14:20:02.434Z</dcterms:modified>
</cp:coreProperties>
</file>

<file path=docProps/custom.xml><?xml version="1.0" encoding="utf-8"?>
<Properties xmlns="http://schemas.openxmlformats.org/officeDocument/2006/custom-properties" xmlns:vt="http://schemas.openxmlformats.org/officeDocument/2006/docPropsVTypes"/>
</file>