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Ashiana Housing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Debt-light senior-living developer riding a genuine demographic tailwind (~Rs8,000cr GDV pipeline), but 32.5x trailing P/E and a historically weak ROCE track record (just inflecting) cap conviction at Medium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CLEAR — </w:t>
      </w: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Ashiana Housing is a 45+ year-old pan-India residential developer (8 cities) now pivoting toward senior living as its primary growth engine -- the segment was ~41% of Q1 FY27 bookings (up from ~25%+ a year earlier) against a stated medium-term target of ~50%, alongside kid-centric and premium/elite residential formats. The company is debt-light (D/E 0.30, Debt/CFO ~0.5x per ICRA) and funds its ~Rs425cr/year senior-living capex largely from internal collections. FY27 presales guidance is Rs2,200cr, building on FY26's record bookings (~+25% YoY) and FY25's then-record Rs1,937cr.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3,840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P/E (trailing)</w:t>
            </w:r>
          </w:p>
        </w:tc>
        <w:tc>
          <w:tcPr>
            <w:tcW w:type="dxa" w:w="5800"/>
          </w:tcPr>
          <w:p>
            <w:r>
              <w:t xml:space="preserve">~Rs 384 / ~32.5x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14.0% / 13.8%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3-yr avg ROCE (FY23-25)</w:t>
            </w:r>
          </w:p>
        </w:tc>
        <w:tc>
          <w:tcPr>
            <w:tcW w:type="dxa" w:w="5800"/>
          </w:tcPr>
          <w:p>
            <w:r>
              <w:t xml:space="preserve">6.2% (median 3.7%) -- screener.in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Rs 1,143 Cr (+116% YoY, record; completion-method, lumpy)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(FY26)</w:t>
            </w:r>
          </w:p>
        </w:tc>
        <w:tc>
          <w:tcPr>
            <w:tcW w:type="dxa" w:w="5800"/>
          </w:tcPr>
          <w:p>
            <w:r>
              <w:t xml:space="preserve">Rs 118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Bookings/Presales (FY26)</w:t>
            </w:r>
          </w:p>
        </w:tc>
        <w:tc>
          <w:tcPr>
            <w:tcW w:type="dxa" w:w="5800"/>
          </w:tcPr>
          <w:p>
            <w:r>
              <w:t xml:space="preserve">~Rs 2,400 Cr est. (~+25% YoY, record); FY27 guidance Rs 2,200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Collections (FY26)</w:t>
            </w:r>
          </w:p>
        </w:tc>
        <w:tc>
          <w:tcPr>
            <w:tcW w:type="dxa" w:w="5800"/>
          </w:tcPr>
          <w:p>
            <w:r>
              <w:t xml:space="preserve">Rs 1,484 Cr (+40%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0.30 (net debt ~Rs 958 Cr; Debt/CFO ~0.5x per ICRA)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61.11% / 0% (stable, no pledge)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Credit ratings</w:t>
            </w:r>
          </w:p>
        </w:tc>
        <w:tc>
          <w:tcPr>
            <w:tcW w:type="dxa" w:w="5800"/>
          </w:tcPr>
          <w:p>
            <w:r>
              <w:t xml:space="preserve">ICRA reaffirmed (Sep-2025); CARE A; Stable reaffirmed (Dec-2025, Rs454.08cr NCDs)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recognition follows the completion method, so P&amp;L revenue is lumpy and a poor quarter-to-quarter read (Q1 FY27 revenue fell to Rs107cr from Rs293cr YoY even as bookings and collections grew) -- bookings/presales and collections are the cleaner demand signals, and both have grown every year since FY24. ROCE has historically been weak (FY23-25 3-yr average just 6.2%, median 3.7% per screener.in) and FY26's 14.0% print, while a real inflection, still falls just short of the Coffee-Can 15% hurdle. At ~32.5x trailing P/E and ~4.4x P/B, the market is already paying up for the senior-living growth story; both ICRA (Sep-2025) and CARE (Dec-2025) reaffirmed stable ratings, and promoter holding (61.11%) has been flat with zero pledge throughout.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(Ashiana Housing consolidated): market cap, P/E, ROCE/ROE, 5yr revenue/PAT table, quarterly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ICRA rating rationale (Sep-2025 reaffirmation) + CARE Ratings reaffirmation (Dec-2025, NSE filing): leverage (Debt/CFO ~0.5x), debt repayment schedule, rating stability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concall/results coverage (multibagg.ai; NSE concall transcript filed): revenue, PAT, bookings, collections, senior-living mix, Pune land acquisition, FY27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/ media coverage (whalesbook, business-standard, sahi.com): FY26 record revenue/profit/bookings, senior-living GDV pipeline (~Rs8,000cr of ~Rs16,000cr), FY26 senior-living capex (Rs425cr vs Rs213cr 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Shareholding-pattern aggregators (valueresearchonline, indiainfoline): promoter 61.11%, zero pledge, FII/DII breakdown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tradebrains.in sector analysis (citing Mordor Intelligence): India senior-living TAM (~USD3.55bn -&gt; ~USD14.14bn by 2031), Ashiana pricing power (Rs15,200/sqft vs Rs7-10k/sqft floor)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(completion-method) jumped to a record Rs1,143cr (+116% YoY) with PAT of Rs118cr, but this follows a FY25 completion-timing trough (Rs529cr revenue, Rs18cr PAT) -- P&amp;L swings far more than underlying demand (bookings grew every year FY24-FY26)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Capex/land program: Rs425cr senior-living outlay budgeted for FY26 (vs Rs213cr FY25), funding Pune (28.55 acres, ~Rs1,800cr sales potential), a Chennai MWC lease (~Rs1,200cr potential) and Maharashtra land -- funded predominantly off internal collections, not fresh borrowing (D/E held at 0.30)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schedule: ICRA's Sep-2025 rationale pegs Total External Debt/CFO at ~0.5x as of Mar-2025, expected to stay 0.5-0.7x through Mar-2026 -- a comfortably serviced, working-capital-style leverage profile, not stressed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at 61.11% through FY26 into Jun-2026 with zero pledge across all four named promoter individuals -- no promoter-exit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auditor resignation, SEBI action, or related-party-transaction disclosure surfaced in the sources reviewed this pass -- RPT specifically was not independently verified and is flagged as an open question rather than assumed clean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Could not directly fetch/parse the FY25-26 annual report PDF this pass (aggregator/rating-agency coverage used instead) -- a dedicated AR read for RPT disclosures and segment-level capex status would strengthen the next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 qtr): P&amp;L revenue fell to Rs107.44cr from Rs292.72cr YoY on delivery/completion timing, but PAT held at Rs13.11cr (vs Rs12.72cr YoY, aided by ~Rs12.31cr other income) -- shows how disconnected quarterly P&amp;L is from underlying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bookings Rs358cr (3.60 lakh sqft, 234 units) at an improved average realization of Rs9,923/sqft; collections Rs409cr and pre-tax operating cash flow Rs121cr both stayed healthy despite the revenue dip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Senior-living mix in Q1 FY27 reached 41% of the portfolio (vs 23% kid-centric, 36% elite/premium) -- up sharply from ~25%+ a year earlier, confirming the stated strategic pivot is actually showing up in the numbers, not just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full-year: bookings rose ~25% YoY to a record, collections +40% YoY to Rs1,484cr, and senior-living area booked alone was Rs570.15cr (Advik, Amodh, Vatsalya, Swarang projects) -- broad-based, not one-project-dependent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guidance: Rs2,200cr full-year presales; YTD presales Rs859cr by late Jul-2026 with H1 exit guided at Rs1,050-1,100cr -- tracking plausible but requires H2 (seasonally stronger) to deliver the back-half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Dec-2025: CARE Ratings reaffirmed CARE A; Stable for the issuer rating and Rs454.08cr of NCDs across five tranches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Sep-2025: ICRA reaffirmed Ashiana's rating with the rated amount enhanced, citing improved FY25 sales/collections expected to sustain into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Jul/Aug-2026: Q1 FY27 results + concall -- Pune 28.55-acre senior-living land acquisition (~Rs1,800cr potential) disclosed, FY27 Rs2,200cr presales guidance reiterated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Apr-2026: FY26 results -- record annual revenue/profit/bookings announced; FY26 senior-living capex outlay of Rs425cr disclosed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3-yr ROCE average (FY23-25) of just 6.2% (median 3.7%, screener.in) is materially weaker than the headline FY26 14.0% figure suggests on its own -- FY26 is a genuine but still-unconfirmed single-year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Ashiana has no listed pure-play senior-living competitor in India; the real competitive set (Antara/Max, Columbia Pacific Communities, Primus) is private/PE-backed, which both reduces near-term competitive pressure and means there's no public comp to benchmark valuation against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recognition lumpiness is severe enough that a single quarter's P&amp;L (Q1 FY27's Rs107cr vs Rs293cr YoY) can look like a business in decline even while bookings, collections and cash flow all improved -- bookings/collections, not quarterly P&amp;L, are the right demand signal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reported FY25 operating-cash-flow figure of Rs2,335cr (vs just Rs529cr FY25 revenue) found on one aggregator is almost certainly erroneous/mismatched and was excluded from this write-up rather than used -- flagged so a future pass sources CFO directly from the annual report cash-flow statement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FY23-26 related-party-transaction trend? Not independently sourced this pass -- management_quality.rpt_trend left 'unclear' rather than guessed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trailing net-debt/EBITDA and FCF-conversion figures could not be derived from consistent sources this pass (one aggregator's FY25 CFO figure was internally implausible) -- worth a direct annual-report cash-flow-statement read next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FY27 H2 presales actually deliver the back-half needed to hit the Rs2,200cr full-year guidance, or does the H1 run-rate (Rs1,050-1,100cr guided exit) imply a miss?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is the newly acquired Pune/Maharashtra land performing on capex efficiency -- no completed project cycle yet to check return on the stepped-up ~Rs425cr/year senior-living capex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Four-box score 3.0 (tailwind yes, tam yes; moat weak, valuation weak) supports the 10x-in-2-3-years label, and primary-document-adjacent sources (ICRA/CARE rating rationales, FY26/Q1 FY27 results) confirm real demand growth (bookings ~+25% YoY, collections +40% YoY), zero pledge, and disciplined internally-funded capex. Held below Medium-High by a historically weak 3-yr ROCE average (6.2%), an already-full ~32.5x P/E, and several quality metrics that couldn't be cleanly sourced this pass.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presales guidance of Rs 2,200cr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YTD Rs859cr by late Jul-2026, H1 exit guided Rs1,050-1,100cr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Pune 28.55-acre senior-living land acquisition, ~Rs1,800cr sales potential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 acquired Q1 FY27 (quarter ended Jun-2026), no launch date disclosed yet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Senior-living portfolio mix target ~50% of total presales (vs 41% in Q1 FY27, ~25%+ a year earlier)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aspiration Rs1,000cr+ senior-living presales annually in the medium term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Rs425cr FY26 senior-living capex (up from Rs213cr FY25), continuing into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funds land + construction for Chennai (MWC lease, ~Rs1,200cr potential), Pune, Maharashtra acquisitions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senior-living land acquisition &amp; launch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presales/bookings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construction progress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recognition (completion method)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margin realization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PAT/FCF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construction-to-completion timing (revenue recognition lag causes severe quarter-to-quarter lumpiness).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margin swings (OPM ~6%-19% across recent quarters) look driven mostly by project mix/completion-timing rather than a clean operating-leverage curve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presales/bookings growth; construction progress (senior-living capex deployed, land acquired). Still assumed: margin realization at the guided senior-living premium; PAT/FCF stability once the mix shift completes.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384 · 32.5x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~20-22% EPS CAGR FY26-28 needed to de-rate today's ~32.5x trailing multiple to a ~22x exit (reverse-P/E estimate; real-estate developer, not a steady compounder)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Presales guidance Rs2,200cr (roughly flat-to-up vs FY26's ~Rs2,400cr est. actual); P&amp;L revenue stays lumpy under completion accounting -- Q1 FY27 revenue fell sharply YoY on delivery timing even as bookings/collections held 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Senior-living mix continuing toward the stated ~50% target; newly acquired Pune/Chennai/Maharashtra land beginning to convert to launches/bookings, with P&amp;L revenue likely catching up to FY26-27 bookings -- timing (and thus FY28 EPS) is inherently uncertain under completion accounting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32.5x trailing P/E already prices meaningful growth; the unresolved variable is less THAT growth happens (presales/collections confirm demand) and more WHEN it shows up in reported P&amp;L given completion-method lumpiness, plus whether newly-acquired land converts to launches on the stated FY26-27 timeline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H1 FY27 presales exit print (~Rs1,050-1,100cr guided) + Pune/Chennai senior-living project launch</w:t>
      </w:r>
      <w:r>
        <w:rPr>
          <w:color w:val="666666"/>
          <w:sz w:val="18"/>
          <w:szCs w:val="18"/>
        </w:rPr>
        <w:t xml:space="preserve"> (window ~6M from 2026-10-01;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organized Indian real estate / senior-living niche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developer across senior-living, kid-centric, and premium/elite residential formats in 8 cities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land acquisition + regulatory approvals in target cities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Puravankara, Sunteck Realty, Shriram Properties, Antara/Max Estates (unlisted senior-living peer)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No listed pure-play senior-living competitor exists in India yet; Ashiana's capital/land competition is general residential developers, while in senior-living specifically the real competitive set is unlisted/PE-backed (Antara, Columbia Pacific Communities, Primus) -- supply-side is still in an early build-out phase, not yet consolidating.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completion-method revenue recognition timing (delivery lumpiness dominates quarter-to-quarter swings); product mix shift toward senior living (~Rs15,200/sqft vs Rs7,000-10,000/sqft industry floor); construction/input cost inflation.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swung roughly 6%-19% across recent quarters purely on project-completion timing, not a cyclical peak; through-cycle margin is better read off annual figures -- FY26's ~10.3% PAT margin (Rs118cr/Rs1,143cr) is a more representative base than any single quarter.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Quarterly P&amp;L revenue is completion-driven and not simply YoY-comparable: Q1 FY26 Rs293cr -&gt; Q1 FY27 Rs107cr (down sharply on delivery timing) even as presales/collections grew. FY-level revenue: FY23 Rs410cr -&gt; FY24 Rs944cr (+130%) -&gt; FY25 Rs529cr (-44%, low-completion year) -&gt; FY26 Rs1,143cr (+116%, record). Bookings/presales (the real demand signal) grew every year: FY24 Rs1,798cr -&gt; FY25 Rs1,937cr (+7.7%) -&gt; FY26 ~+25% YoY per company release.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~32.5x trailing P/E is rich for a lumpy-earnings developer; the market is paying more for the senior-living growth optionality (bookings/collections trajectory) than for the reported P&amp;L trend, which does not move cleanly year to year.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Senior-living capex funded largely from internal accruals/collections (D/E just 0.30, net debt ~Rs958cr, Debt/CFO ~0.5x per ICRA); strategic land acquisitions in Pune, Chennai (MWC lease) and Maharashtra funded without large incremental borrowing; no unrelated diversification found in sources reviewed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mix-shift up the value chain from plain residential to higher-realization, stickier senior-living format (41% of Q1 FY27 bookings vs ~25%+ a year prior, target ~50%), with recurring lifestyle-services revenue (dining, ~300 activities/month) layered on the one-time sale.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4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FY23-25 3-yr avg ROCE ~6.2% (median 3.7%, screener.in) never reached the 15% hurdle despite strong revenue growth in FY23/FY24; FY25 also failed the revenue-growth leg outright (-44%). FY26's 14.0% ROCE (on +116% revenue growth) is the closest miss -- just under the 15% bar -- a real but still-unconfirmed single-year inflection. Real-estate completion accounting makes per-year ROCE a volatile, imperfect read for this business model.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61.11%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16.3%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Dec-2025, Mar-2026, Jun-2026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flat at 61.11% Dec-2025 through Mar-2026 (effectively through Jun-2026 too); zero pledge across all four named promoter individuals (Varun/Ankur/Vishal/Rachna Gupta) throughout. FII+DII combined ~16.3% as of Jun-2026 (FII 8.2%, DII 8.1%) -- directional trend not independently confirmed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Presales/bookings (annual): ~Rs2,400cr FY26 est. (~+25% YoY, record); FY27 guidance Rs2,200cr (improving) — YTD FY27 Rs859cr by late Jul-2026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Collections (annual): Rs1,484cr FY26 (+40% YoY)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Senior-living mix (% of bookings): 41% in Q1 FY27, up from ~25%+ a year earlier (improving) — stated medium-term target ~50%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realization: Rs9,923/sqft (Q1 FY27 blended); flagship senior-living projects ~Rs15,200/sqft (improving) — vs industry senior-living floor Rs7,000-10,000/sqft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Structural, underpenetrated senior-living TAM (India market ~USD3.55bn in 2025 -&gt; ~USD14.14bn by 2031, ~26% CAGR, Mordor Intelligence) with Ashiana an early, premium-positioned mover (Rs15,200/sqft realizations vs Rs7,000-10,000/sqft industry floor)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Demand is real and growing across every available data point: bookings ~+25% YoY (FY26, record), collections +40% YoY to Rs1,484cr, Q1 FY27 presales tracking toward FY27's Rs2,200cr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Debt-light, internally-funded growth (D/E 0.30, zero pledge, two independent rating agencies -- ICRA and CARE -- reaffirmed stable ratings through FY26/25) gives balance-sheet room to keep acquiring land (Pune 28.55 acres ~Rs1,800cr potential, Chennai MWC lease ~Rs1,200cr potential) without dilution or distress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Mix-shift up the value chain: senior living (stickier, recurring lifestyle-services revenue layered on the one-time sale, ~300 activities/month) rising from ~25% to ~41% of bookings in a year, management's stated target ~50%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ROCE inflected to 14.0% from a 6.2% 3-yr average -- the first real sign the capital-intensive build-out phase may be turning into returns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been weak for most of the company's recent history (FY23-25 3-yr average just 6.2%, median 3.7%) -- FY26's 14.0% is one data point, not yet a confirmed trend, and still misses the 15% Coffee-Can hurdle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~32.5x trailing P/E and ~4.4x P/B, the senior-living growth story is already substantially priced in -- not a cheap entry even if the demographic thesis plays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structural moat: Ashiana's premium pricing and lifestyle differentiation are real but not a hard barrier -- PE-backed private players (Antara, Columbia Pacific Communities, Primus) are actively expanding into the same underpenetrated niche and could compress the pricing/returns advantage over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P&amp;L revenue recognition (completion method) is genuinely lumpy and hard to model -- Q1 FY27 revenue fell to Rs107cr from Rs293cr YoY despite bookings/collections growth, and a clean trailing net-debt/EBITDA or FCF-conversion figure could not be derived cleanly this pass (source data was internally inconsistent)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Newly acquired senior-living land (Pune, Chennai, Maharashtra) is too recent to show a completed project cycle -- capex efficiency on the stepped-up ~Rs425cr/year outlay is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not assessed this pass -- an open question given promoter family concentration (61.11% combined, four individuals each &gt;1%)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3,840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Senior-living demographics is a genuine structural multi-decade driver (India TAM ~USD3.55bn 2025 -&gt; ~USD14.14bn 2031, Mordor Intelligence), confirmed by real FY26 bookings/collections growth, not just narrative. TAM headroom real: ~Rs8,000cr senior-living GDV pipeline of ~Rs16,000cr total vs Rs1,143cr FY26 base. Moat weak -- premium pricing (Rs15,200/sqft) and lifestyle differentiation are real but not structural; PE-backed entrants (Antara, Columbia Pacific, Primus) could erode the edge. Valuation weak -- ~32.5x trailing P/E / ~4.4x P/B already price in meaningful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senior-living demographic tailwind and disciplined, internally-funded growth, but a historically weak ROCE track record (just inflecting) and an already-full ~32.5x multiple keep conviction at Medium rather than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3.0 (tailwind yes, tam yes; moat weak, valuation weak) permits the 10x-in-2-3-years label -- senior-living GDV pipeline (~Rs8,000cr of ~Rs16,000cr total) against a ~26% CAGR, structurally underpenetrated Indian senior-living TAM (Mordor Intelligence) is a real, primary-source-adjacent headroom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Demand signal confirmed beyond investor-deck narrative: FY26 bookings ~+25% YoY to a record, collections +40% YoY to Rs1,484cr, FY27 presales guidance Rs2,200cr already tracking (YTD Rs859cr by late Jul-2026, H1 exit guided Rs1,050-1,100cr)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discipline is real: D/E 0.30, Debt/CFO ~0.5x (ICRA), both ICRA (Sep-2025) and CARE (Dec-2025) reaffirmed stable ratings, zero promoter pledge, and new senior-living land (Pune, Chennai, Maharashtra) acquired largely off internal accruals rather than fresh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back from a higher conviction: 3-yr average ROCE (FY23-25) was just 6.2% (median 3.7%, screener.in) and even FY26's inflection to 14.0% falls just short of the 15% Coffee-Can hurdle; moat is weak (premium pricing/lifestyle differentiation, but no structural barrier against PE-backed entrants like Antara/Columbia Pacific); valuation is already full at ~32.5x trailing P/E / ~4.4x P/B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flag: no pledge, no auditor resignation or SEBI action found, ratings stable-to-improving; RPT trend and a clean net-debt/EBITDA figure could not be cleanly sourced this pass -- flagged as open questions, not treated as negative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Ashiana Housing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2026-10-01</w:t>
      </w:r>
    </w:p>
    <w:p>
      <w:pPr>
        <w:ind w:left="360"/>
      </w:pPr>
      <w:r>
        <w:t xml:space="preserve">  • Red Flag: CLEAR</w:t>
      </w:r>
    </w:p>
    <w:p/>
    <w:p>
      <w:r>
        <w:rPr>
          <w:b/>
        </w:rPr>
        <w:t>📝 Verdict:</w:t>
      </w:r>
    </w:p>
    <w:p>
      <w:pPr>
        <w:ind w:left="360"/>
      </w:pPr>
      <w:r>
        <w:t>Genuine senior-living demographic tailwind and disciplined, internally-funded growth, but a historically weak ROCE track record (just inflecting) and an already-full ~32.5x multiple keep conviction at Medium rather than higher</w:t>
      </w:r>
    </w:p>
    <w:p/>
    <w:p>
      <w:r>
        <w:rPr>
          <w:b/>
        </w:rPr>
        <w:t>📈 Bull Case:</w:t>
      </w:r>
    </w:p>
    <w:p>
      <w:pPr>
        <w:ind w:left="360"/>
      </w:pPr>
      <w:r>
        <w:t>Structural, underpenetrated senior-living TAM (India market ~USD3.55bn in 2025 -&gt; ~USD14.14bn by 2031, ~26% CAGR, Mordor Intelligence) with Ashiana an early, premium-positioned mover (Rs15,200/sqft realizations vs Rs7,000-10,000/sqft industry floor)</w:t>
      </w:r>
    </w:p>
    <w:p>
      <w:pPr>
        <w:ind w:left="360"/>
      </w:pPr>
      <w:r>
        <w:t>Demand is real and growing across every available data point: bookings ~+25% YoY (FY26, record), collections +40% YoY to Rs1,484cr, Q1 FY27 presales tracking toward FY27's Rs2,200cr guidance</w:t>
      </w:r>
    </w:p>
    <w:p>
      <w:pPr>
        <w:ind w:left="360"/>
      </w:pPr>
      <w:r>
        <w:t>Debt-light, internally-funded growth (D/E 0.30, zero pledge, two independent rating agencies -- ICRA and CARE -- reaffirmed stable ratings through FY26/25) gives balance-sheet room to keep acquiring land (Pune 28.55 acres ~Rs1,800cr potential, Chennai MWC lease ~Rs1,200cr potential) without dilution or distress</w:t>
      </w:r>
    </w:p>
    <w:p>
      <w:pPr>
        <w:ind w:left="360"/>
      </w:pPr>
      <w:r>
        <w:t>Mix-shift up the value chain: senior living (stickier, recurring lifestyle-services revenue layered on the one-time sale, ~300 activities/month) rising from ~25% to ~41% of bookings in a year, management's stated target ~50%</w:t>
      </w:r>
    </w:p>
    <w:p>
      <w:pPr>
        <w:ind w:left="360"/>
      </w:pPr>
      <w:r>
        <w:t>FY26 ROCE inflected to 14.0% from a 6.2% 3-yr average -- the first real sign the capital-intensive build-out phase may be turning into returns</w:t>
      </w:r>
    </w:p>
    <w:p/>
    <w:p>
      <w:r>
        <w:rPr>
          <w:b/>
        </w:rPr>
        <w:t>📉 Bear Case:</w:t>
      </w:r>
    </w:p>
    <w:p>
      <w:pPr>
        <w:ind w:left="360"/>
      </w:pPr>
      <w:r>
        <w:t>ROCE has been weak for most of the company's recent history (FY23-25 3-yr average just 6.2%, median 3.7%) -- FY26's 14.0% is one data point, not yet a confirmed trend, and still misses the 15% Coffee-Can hurdle</w:t>
      </w:r>
    </w:p>
    <w:p>
      <w:pPr>
        <w:ind w:left="360"/>
      </w:pPr>
      <w:r>
        <w:t>At ~32.5x trailing P/E and ~4.4x P/B, the senior-living growth story is already substantially priced in -- not a cheap entry even if the demographic thesis plays out</w:t>
      </w:r>
    </w:p>
    <w:p>
      <w:pPr>
        <w:ind w:left="360"/>
      </w:pPr>
      <w:r>
        <w:t>No structural moat: Ashiana's premium pricing and lifestyle differentiation are real but not a hard barrier -- PE-backed private players (Antara, Columbia Pacific Communities, Primus) are actively expanding into the same underpenetrated niche and could compress the pricing/returns advantage over time</w:t>
      </w:r>
    </w:p>
    <w:p>
      <w:pPr>
        <w:ind w:left="360"/>
      </w:pPr>
      <w:r>
        <w:t>P&amp;L revenue recognition (completion method) is genuinely lumpy and hard to model -- Q1 FY27 revenue fell to Rs107cr from Rs293cr YoY despite bookings/collections growth, and a clean trailing net-debt/EBITDA or FCF-conversion figure could not be derived cleanly this pass (source data was internally inconsistent)</w:t>
      </w:r>
    </w:p>
    <w:p>
      <w:pPr>
        <w:ind w:left="360"/>
      </w:pPr>
      <w:r>
        <w:t>Newly acquired senior-living land (Pune, Chennai, Maharashtra) is too recent to show a completed project cycle -- capex efficiency on the stepped-up ~Rs425cr/year outlay is unproven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2026-10-01T15:07:10.929Z</dcterms:created>
  <dcterms:modified xsi:type="dcterms:W3CDTF">2026-10-01T15:07:10.934Z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