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Bajaj Housing Finance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housing financier - modest ROE (~11.4%) for a leveraged HFC trading at a rich ~3.1x book, down ~25% over one year; no named structural inflection found, so the large-cap default (no thesis fit, fast write-up only) applies, and the numbers do not contradict the bearish X view.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Bajaj Housing Finance Ltd (NSE/BSE: BAJAJHFL) is a housing finance company under the Bajaj Finserv group, offering home loans and related lending products. Entity is unambiguous (well-known large-cap NBFC/HFC, name matches state.json exactly).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70,083 Cr (down ~24.9%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11,604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72.65 - Rs 117.00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11.41%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4.60 (typical leveraged HFC balance sheet)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3.11x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86.7%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ROE of ~11.4% is modest for a housing financier, especially set against a rich ~3.1x price-to-book multiple - the valuation still prices in growth/quality that the current return profile does not fully substantiate. The stock is down ~25% over the past year, and no dividend is paid despite repeated profits. No specific named inflection (new CEO turnaround, regulatory/structural shift, capital-allocation regime change) was identified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Down ~25% over one year, trading in the Rs 72.65-117.00 range; not pulled in further detail given the fast-lane large-cap treatment.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the large-cap-no-inflection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large-cap fast lane.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Bajaj Group parentage and scale; high promoter holding (86.7%)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(~11.4%) is modest for the ~3.1x book multiple the stock still commands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leverage typical of an HFC (D/E 4.60) - inherent balance-sheet risk in any credit-cycle downturn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inflection found this pass - large-cap default applies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 source (@PRATIKBULANI555) flagged a bearish, medium-conviction view; the ~25% one-year decline and rich P/B-vs-ROE mismatch are consistent with that view rather than contradicting it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70,083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no  (score 0.5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tam set to 'no' because no specific named management/structural inflection was found this pass; tailwind weak (housing-finance credit growth is a generic, not distinctive, tailwind); moat weak (Bajaj Group brand/distribution helps but ROE does not show a clear underwriting edge); valuation no given ~3.1x book against ~11.4% ROE.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is the well-known Bajaj Housing Finance Ltd. Modest ROE (~11.4%) against a rich ~3.1x book multiple, no named inflection found - large-cap default applies: thesis_fit 'neither', Low conviction, no forum deep-dive.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(Bajaj Housing Finance is explicitly named in the batch instructions as large/mega-cap) - default tam:no applied since no specific named inflection was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per the large-cap-no-inflection rule; conviction Low given the ROE-vs-valuation mismatch and one-year price decline, which corroborate rather than contradict the bearish X seed view; no forum deep-dive performed.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Bajaj Housing Finance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1.0</w:t>
      </w:r>
    </w:p>
    <w:p>
      <w:pPr>
        <w:ind w:left="360"/>
      </w:pPr>
      <w:r>
        <w:t xml:space="preserve">  • Research Date: 2026-09-26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Entity is the well-known Bajaj Housing Finance Ltd. Modest ROE (~11.4%) against a rich ~3.1x book multiple, no named inflection found - large-cap default applies: thesis_fit 'neither', Low conviction, no forum deep-dive.</w:t>
      </w:r>
    </w:p>
    <w:p/>
    <w:p>
      <w:r>
        <w:rPr>
          <w:b/>
        </w:rPr>
        <w:t>📈 Bull Case:</w:t>
      </w:r>
    </w:p>
    <w:p>
      <w:pPr>
        <w:ind w:left="360"/>
      </w:pPr>
      <w:r>
        <w:t>Bajaj Group parentage and scale; high promoter holding (86.7%)</w:t>
      </w:r>
    </w:p>
    <w:p/>
    <w:p>
      <w:r>
        <w:rPr>
          <w:b/>
        </w:rPr>
        <w:t>📉 Bear Case:</w:t>
      </w:r>
    </w:p>
    <w:p>
      <w:pPr>
        <w:ind w:left="360"/>
      </w:pPr>
      <w:r>
        <w:t>ROE (~11.4%) is modest for the ~3.1x book multiple the stock still commands</w:t>
      </w:r>
    </w:p>
    <w:p>
      <w:pPr>
        <w:ind w:left="360"/>
      </w:pPr>
      <w:r>
        <w:t>High leverage typical of an HFC (D/E 4.60) - inherent balance-sheet risk in any credit-cycle downturn</w:t>
      </w:r>
    </w:p>
    <w:p>
      <w:pPr>
        <w:ind w:left="360"/>
      </w:pPr>
      <w:r>
        <w:t>No named structural inflection found this pass - large-cap default applies</w:t>
      </w:r>
    </w:p>
    <w:p>
      <w:pPr>
        <w:ind w:left="360"/>
      </w:pPr>
      <w:r>
        <w:t>Untrusted X source (@PRATIKBULANI555) flagged a bearish, medium-conviction view; the ~25% one-year decline and rich P/B-vs-ROE mismatch are consistent with that view rather than contradicting 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2026-09-13T06:25:22.482Z</dcterms:created>
  <dcterms:modified xsi:type="dcterms:W3CDTF">2026-09-13T06:25:22.483Z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