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Bansal Roofing Products Ltd</w:t>
      </w:r>
    </w:p>
    <w:p>
      <w:pPr>
        <w:pBdr>
          <w:bottom w:val="single" w:color="CCCCCC" w:sz="6" w:space="8"/>
        </w:pBdr>
        <w:spacing w:after="200"/>
      </w:pPr>
      <w:r>
        <w:rPr>
          <w:i/>
          <w:iCs/>
          <w:color w:val="666666"/>
          <w:sz w:val="22"/>
          <w:szCs w:val="22"/>
        </w:rPr>
        <w:t xml:space="preserve">High-ROCE, near-debt-free micro-cap PEB / roofing fabricator whose long-promised capacity ramp has now delivered (FY26 revenue +60%, PAT +90%), with fresh solar-mounting-structure optionality - a Medium-conviction 10x-optionality name still held back by commodity economics and recent margin compression</w:t>
      </w:r>
    </w:p>
    <w:p>
      <w:pPr>
        <w:pStyle w:val="Heading1"/>
        <w:spacing w:after="120" w:before="280"/>
      </w:pPr>
      <w:r>
        <w:t xml:space="preserve">Business Overview</w:t>
      </w:r>
    </w:p>
    <w:p>
      <w:pPr>
        <w:spacing w:after="120"/>
      </w:pPr>
      <w:r>
        <w:t xml:space="preserve">Bansal Roofing Products designs, manufactures and installs pre-engineered building (PEB) structures, roofing and cladding systems, purlins, deck sheets, ventilators and related components, mainly for factory sheds, warehouses and showrooms, out of Gujarat (Unit II, commercialised 2021). FY26 added solar module mounting structures as a new in-house product line.</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200 Cr (micro-cap)</w:t>
            </w:r>
          </w:p>
        </w:tc>
      </w:tr>
      <w:tr>
        <w:tc>
          <w:tcPr>
            <w:tcW w:type="dxa" w:w="3200"/>
            <w:shd w:fill="F2F2F2" w:val="clear"/>
          </w:tcPr>
          <w:p>
            <w:r>
              <w:rPr>
                <w:b/>
                <w:bCs/>
              </w:rPr>
              <w:t xml:space="preserve">ROCE / ROE</w:t>
            </w:r>
          </w:p>
        </w:tc>
        <w:tc>
          <w:tcPr>
            <w:tcW w:type="dxa" w:w="5800"/>
          </w:tcPr>
          <w:p>
            <w:r>
              <w:t xml:space="preserve">~34.4% / ~28.0% (strong)</w:t>
            </w:r>
          </w:p>
        </w:tc>
      </w:tr>
      <w:tr>
        <w:tc>
          <w:tcPr>
            <w:tcW w:type="dxa" w:w="3200"/>
            <w:shd w:fill="F2F2F2" w:val="clear"/>
          </w:tcPr>
          <w:p>
            <w:r>
              <w:rPr>
                <w:b/>
                <w:bCs/>
              </w:rPr>
              <w:t xml:space="preserve">Stock P/E</w:t>
            </w:r>
          </w:p>
        </w:tc>
        <w:tc>
          <w:tcPr>
            <w:tcW w:type="dxa" w:w="5800"/>
          </w:tcPr>
          <w:p>
            <w:r>
              <w:t xml:space="preserve">~18x</w:t>
            </w:r>
          </w:p>
        </w:tc>
      </w:tr>
      <w:tr>
        <w:tc>
          <w:tcPr>
            <w:tcW w:type="dxa" w:w="3200"/>
            <w:shd w:fill="F2F2F2" w:val="clear"/>
          </w:tcPr>
          <w:p>
            <w:r>
              <w:rPr>
                <w:b/>
                <w:bCs/>
              </w:rPr>
              <w:t xml:space="preserve">Debt</w:t>
            </w:r>
          </w:p>
        </w:tc>
        <w:tc>
          <w:tcPr>
            <w:tcW w:type="dxa" w:w="5800"/>
          </w:tcPr>
          <w:p>
            <w:r>
              <w:t xml:space="preserve">near debt-free (borrowings ~Rs 3 Cr FY26, capex via internal accruals)</w:t>
            </w:r>
          </w:p>
        </w:tc>
      </w:tr>
      <w:tr>
        <w:tc>
          <w:tcPr>
            <w:tcW w:type="dxa" w:w="3200"/>
            <w:shd w:fill="F2F2F2" w:val="clear"/>
          </w:tcPr>
          <w:p>
            <w:r>
              <w:rPr>
                <w:b/>
                <w:bCs/>
              </w:rPr>
              <w:t xml:space="preserve">FY26 revenue / EBITDA / PAT</w:t>
            </w:r>
          </w:p>
        </w:tc>
        <w:tc>
          <w:tcPr>
            <w:tcW w:type="dxa" w:w="5800"/>
          </w:tcPr>
          <w:p>
            <w:r>
              <w:t xml:space="preserve">Rs 154.4 Cr (+60% YoY) / ~Rs 16 Cr (10.3% margin) / Rs 10.5 Cr (+90% YoY)</w:t>
            </w:r>
          </w:p>
        </w:tc>
      </w:tr>
      <w:tr>
        <w:tc>
          <w:tcPr>
            <w:tcW w:type="dxa" w:w="3200"/>
            <w:shd w:fill="F2F2F2" w:val="clear"/>
          </w:tcPr>
          <w:p>
            <w:r>
              <w:rPr>
                <w:b/>
                <w:bCs/>
              </w:rPr>
              <w:t xml:space="preserve">Capacity</w:t>
            </w:r>
          </w:p>
        </w:tc>
        <w:tc>
          <w:tcPr>
            <w:tcW w:type="dxa" w:w="5800"/>
          </w:tcPr>
          <w:p>
            <w:r>
              <w:t xml:space="preserve">PEB ~800 t/month FY24 -&gt; ~1,200 MT/month after Phase 5 &amp; 6 (Aug 2026), longer-term ~2,000 t/month (~Rs 200-250 Cr revenue potential)</w:t>
            </w:r>
          </w:p>
        </w:tc>
      </w:tr>
      <w:tr>
        <w:tc>
          <w:tcPr>
            <w:tcW w:type="dxa" w:w="3200"/>
            <w:shd w:fill="F2F2F2" w:val="clear"/>
          </w:tcPr>
          <w:p>
            <w:r>
              <w:rPr>
                <w:b/>
                <w:bCs/>
              </w:rPr>
              <w:t xml:space="preserve">52-week range</w:t>
            </w:r>
          </w:p>
        </w:tc>
        <w:tc>
          <w:tcPr>
            <w:tcW w:type="dxa" w:w="5800"/>
          </w:tcPr>
          <w:p>
            <w:r>
              <w:t xml:space="preserve">~Rs 98 - 165</w:t>
            </w:r>
          </w:p>
        </w:tc>
      </w:tr>
    </w:tbl>
    <w:p>
      <w:pPr>
        <w:spacing w:after="100"/>
      </w:pPr>
    </w:p>
    <w:p>
      <w:pPr>
        <w:spacing w:after="120"/>
      </w:pPr>
      <w:r>
        <w:t xml:space="preserve">One of the cleaner fundamental profiles among the legacy seeds and the ramp thesis has now started to convert: FY26 revenue rose ~60% to Rs 154 Cr and PAT ~90% to Rs 10.5 Cr, with ROCE ~34%, ROE ~28% and borrowings down to ~Rs 3 Cr, all funded by internal accruals. Phase 5 and 6 lift PEB capacity to ~1,200 MT/month by Aug 2026 (longer-term ~2,000 t/month, ~Rs 200-250 Cr revenue), and a new solar module mounting structure line was commissioned in Q1 FY27. The offset: EBITDA margin held at ~10% for FY26 but quarterly PAT margin compressed from ~9% (Q3 FY26) to ~6% (Q1 FY27) as PEB pricing power is weak and steel-linked, and Q1 FY27 revenue growth cooled to +27% YoY. The PEB / roofing space rides an infrastructure and warehousing tailwind.</w:t>
      </w:r>
    </w:p>
    <w:p>
      <w:pPr>
        <w:pStyle w:val="Heading1"/>
        <w:spacing w:after="120" w:before="280"/>
      </w:pPr>
      <w:r>
        <w:t xml:space="preserve">Deep-Dive: Primary Documents (Annual Reports, Quarterly Results, Exchange Filings)</w:t>
      </w:r>
    </w:p>
    <w:p>
      <w:pPr>
        <w:spacing w:after="120"/>
      </w:pPr>
      <w:r>
        <w:rPr>
          <w:i/>
          <w:iCs/>
          <w:color w:val="666666"/>
          <w:sz w:val="18"/>
          <w:szCs w:val="18"/>
        </w:rPr>
        <w:t xml:space="preserve">Pass 1 — 2026-09-08. Built from the company's own filings (3 years of annual reports, ~4 quarters of results/concalls, and 6 months of BSE/NSE announcements), read via the web — a deeper layer than the forum-sentiment read below.</w:t>
      </w:r>
    </w:p>
    <w:p>
      <w:pPr>
        <w:spacing w:after="120"/>
      </w:pPr>
      <w:r>
        <w:rPr>
          <w:b/>
          <w:bCs/>
          <w:sz w:val="20"/>
          <w:szCs w:val="20"/>
        </w:rPr>
        <w:t xml:space="preserve">Sources reviewed this pass:</w:t>
      </w:r>
    </w:p>
    <w:p>
      <w:pPr>
        <w:pStyle w:val="ListParagraph"/>
        <w:numPr>
          <w:ilvl w:val="0"/>
          <w:numId w:val="1"/>
        </w:numPr>
        <w:spacing w:after="60"/>
      </w:pPr>
      <w:r>
        <w:t xml:space="preserve">screener.in/company/538546 (annual FY23-FY26, quarterly to Q1 FY27, ratios, cash flow, promoter holding)</w:t>
      </w:r>
    </w:p>
    <w:p>
      <w:pPr>
        <w:pStyle w:val="ListParagraph"/>
        <w:numPr>
          <w:ilvl w:val="0"/>
          <w:numId w:val="1"/>
        </w:numPr>
        <w:spacing w:after="60"/>
      </w:pPr>
      <w:r>
        <w:t xml:space="preserve">Whalesbook / scanx.trade FY26 results coverage (revenue Rs 154.42 Cr +59.6%, PAT Rs 10.54 Cr +90.4%, EBITDA Rs 15.96 Cr / 10.34% margin, Rs 2/share dividend)</w:t>
      </w:r>
    </w:p>
    <w:p>
      <w:pPr>
        <w:pStyle w:val="ListParagraph"/>
        <w:numPr>
          <w:ilvl w:val="0"/>
          <w:numId w:val="1"/>
        </w:numPr>
        <w:spacing w:after="60"/>
      </w:pPr>
      <w:r>
        <w:t xml:space="preserve">scanx.trade Q1 FY27 coverage + earnings-call note (revenue Rs 45.89 Cr +26.8%, PAT Rs 2.66 Cr +31.9%, ~Rs 5 Cr machinery capex, solar module mounting structures commissioned, Phase 5/6 under construction)</w:t>
      </w:r>
    </w:p>
    <w:p>
      <w:pPr>
        <w:pStyle w:val="ListParagraph"/>
        <w:numPr>
          <w:ilvl w:val="0"/>
          <w:numId w:val="1"/>
        </w:numPr>
        <w:spacing w:after="60"/>
      </w:pPr>
      <w:r>
        <w:t xml:space="preserve">marketsmojo Q2 FY26 note (volume surge / margin compression)</w:t>
      </w:r>
    </w:p>
    <w:p>
      <w:pPr>
        <w:pStyle w:val="ListParagraph"/>
        <w:numPr>
          <w:ilvl w:val="0"/>
          <w:numId w:val="1"/>
        </w:numPr>
        <w:spacing w:after="60"/>
      </w:pPr>
      <w:r>
        <w:t xml:space="preserve">VP thread topic 105356 (prior read, pricing-power + execution caveats)</w:t>
      </w:r>
    </w:p>
    <w:p>
      <w:pPr>
        <w:spacing w:after="120"/>
      </w:pPr>
      <w:r>
        <w:rPr>
          <w:b/>
          <w:bCs/>
          <w:sz w:val="20"/>
          <w:szCs w:val="20"/>
        </w:rPr>
        <w:t xml:space="preserve">Annual-report findings (3-year view):</w:t>
      </w:r>
    </w:p>
    <w:p>
      <w:pPr>
        <w:pStyle w:val="ListParagraph"/>
        <w:numPr>
          <w:ilvl w:val="0"/>
          <w:numId w:val="1"/>
        </w:numPr>
        <w:spacing w:after="60"/>
      </w:pPr>
      <w:r>
        <w:t xml:space="preserve">FY26 revenue Rs 154.4 Cr (+59.6% YoY) with PAT Rs 10.54 Cr (+90.4%); FY25 had been a down year (revenue Rs 96.6 Cr, -8.5%), so FY26 is a genuine step-change off a soft base</w:t>
      </w:r>
    </w:p>
    <w:p>
      <w:pPr>
        <w:pStyle w:val="ListParagraph"/>
        <w:numPr>
          <w:ilvl w:val="0"/>
          <w:numId w:val="1"/>
        </w:numPr>
        <w:spacing w:after="60"/>
      </w:pPr>
      <w:r>
        <w:t xml:space="preserve">FY26 EBITDA ~Rs 16 Cr at a 10.34% margin - roughly flat with the through-cycle ~8-10% band, i.e. the profit jump is volume/operating-leverage led, not a margin spike</w:t>
      </w:r>
    </w:p>
    <w:p>
      <w:pPr>
        <w:pStyle w:val="ListParagraph"/>
        <w:numPr>
          <w:ilvl w:val="0"/>
          <w:numId w:val="1"/>
        </w:numPr>
        <w:spacing w:after="60"/>
      </w:pPr>
      <w:r>
        <w:t xml:space="preserve">Balance sheet stays clean: borrowings ~Rs 3 Cr (down from ~Rs 5 Cr FY25), equity ~Rs 13 Cr, book value ~Rs 32/share; capex funded from ~Rs 8 Cr FY26 CFO (FCF ~Rs 3 Cr)</w:t>
      </w:r>
    </w:p>
    <w:p>
      <w:pPr>
        <w:pStyle w:val="ListParagraph"/>
        <w:numPr>
          <w:ilvl w:val="0"/>
          <w:numId w:val="1"/>
        </w:numPr>
        <w:spacing w:after="60"/>
      </w:pPr>
      <w:r>
        <w:t xml:space="preserve">Promoter holding stable at ~73.3% (73.38% Mar-24 -&gt; 73.27% Jun-26), no pledge flagged</w:t>
      </w:r>
    </w:p>
    <w:p>
      <w:pPr>
        <w:pStyle w:val="ListParagraph"/>
        <w:numPr>
          <w:ilvl w:val="0"/>
          <w:numId w:val="1"/>
        </w:numPr>
        <w:spacing w:after="60"/>
      </w:pPr>
      <w:r>
        <w:t xml:space="preserve">Capacity: PEB moves to ~1,200 MT/month once Phase 5 &amp; 6 complete (guided Aug 2026), vs the earlier ~800 t/month; longer-term ~2,000 t/month / ~Rs 200-250 Cr revenue narrative retained</w:t>
      </w:r>
    </w:p>
    <w:p>
      <w:pPr>
        <w:pStyle w:val="ListParagraph"/>
        <w:numPr>
          <w:ilvl w:val="0"/>
          <w:numId w:val="1"/>
        </w:numPr>
        <w:spacing w:after="60"/>
      </w:pPr>
      <w:r>
        <w:t xml:space="preserve">Maiden-style dividend of Rs 2/share on Rs 10 face value declared for FY26 alongside heavy reinvestment</w:t>
      </w:r>
    </w:p>
    <w:p>
      <w:pPr>
        <w:spacing w:after="120"/>
      </w:pPr>
      <w:r>
        <w:rPr>
          <w:b/>
          <w:bCs/>
          <w:sz w:val="20"/>
          <w:szCs w:val="20"/>
        </w:rPr>
        <w:t xml:space="preserve">Quarterly trend (last ~4 quarters + concall commentary):</w:t>
      </w:r>
    </w:p>
    <w:p>
      <w:pPr>
        <w:pStyle w:val="ListParagraph"/>
        <w:numPr>
          <w:ilvl w:val="0"/>
          <w:numId w:val="1"/>
        </w:numPr>
        <w:spacing w:after="60"/>
      </w:pPr>
      <w:r>
        <w:t xml:space="preserve">Revenue (Rs Cr): Q1 FY26 36.2, Q2 34.1, Q3 38.7, Q4 45.3, Q1 FY27 45.9 - sequential build, five quarters of expansion</w:t>
      </w:r>
    </w:p>
    <w:p>
      <w:pPr>
        <w:pStyle w:val="ListParagraph"/>
        <w:numPr>
          <w:ilvl w:val="0"/>
          <w:numId w:val="1"/>
        </w:numPr>
        <w:spacing w:after="60"/>
      </w:pPr>
      <w:r>
        <w:t xml:space="preserve">PAT (Rs Cr): Q1 FY26 2.02, Q2 1.46, Q3 3.57, Q4 3.49, Q1 FY27 2.66 - PAT margin peaked ~9.2% in Q3 FY26 and compressed to ~5.8% in Q1 FY27</w:t>
      </w:r>
    </w:p>
    <w:p>
      <w:pPr>
        <w:pStyle w:val="ListParagraph"/>
        <w:numPr>
          <w:ilvl w:val="0"/>
          <w:numId w:val="1"/>
        </w:numPr>
        <w:spacing w:after="60"/>
      </w:pPr>
      <w:r>
        <w:t xml:space="preserve">YoY revenue growth cooled from ~+60% for FY26 to +26.8% in Q1 FY27 (on a higher base)</w:t>
      </w:r>
    </w:p>
    <w:p>
      <w:pPr>
        <w:pStyle w:val="ListParagraph"/>
        <w:numPr>
          <w:ilvl w:val="0"/>
          <w:numId w:val="1"/>
        </w:numPr>
        <w:spacing w:after="60"/>
      </w:pPr>
      <w:r>
        <w:t xml:space="preserve">Q2 FY26 flagged externally for 'volume surge masking margin compression'; Q1 FY27 carried ~Rs 5 Cr of machinery capex and solar-line commissioning costs</w:t>
      </w:r>
    </w:p>
    <w:p>
      <w:pPr>
        <w:pStyle w:val="ListParagraph"/>
        <w:numPr>
          <w:ilvl w:val="0"/>
          <w:numId w:val="1"/>
        </w:numPr>
        <w:spacing w:after="60"/>
      </w:pPr>
      <w:r>
        <w:t xml:space="preserve">Concall tone (Q1 FY27, via recording note): expansion-focused, Phase 6 half-operational for light fabrication, solar structures positioned as a dependency-reduction + diversification move</w:t>
      </w:r>
    </w:p>
    <w:p>
      <w:pPr>
        <w:spacing w:after="120"/>
      </w:pPr>
      <w:r>
        <w:rPr>
          <w:b/>
          <w:bCs/>
          <w:sz w:val="20"/>
          <w:szCs w:val="20"/>
        </w:rPr>
        <w:t xml:space="preserve">Exchange announcements (last 6 months):</w:t>
      </w:r>
    </w:p>
    <w:p>
      <w:pPr>
        <w:pStyle w:val="ListParagraph"/>
        <w:numPr>
          <w:ilvl w:val="0"/>
          <w:numId w:val="1"/>
        </w:numPr>
        <w:spacing w:after="60"/>
      </w:pPr>
      <w:r>
        <w:t xml:space="preserve">FY26 audited results filed - revenue Rs 154.4 Cr, PAT Rs 10.5 Cr, Rs 2/share dividend</w:t>
      </w:r>
    </w:p>
    <w:p>
      <w:pPr>
        <w:pStyle w:val="ListParagraph"/>
        <w:numPr>
          <w:ilvl w:val="0"/>
          <w:numId w:val="1"/>
        </w:numPr>
        <w:spacing w:after="60"/>
      </w:pPr>
      <w:r>
        <w:t xml:space="preserve">Q1 FY27 results filed - revenue Rs 45.9 Cr (+27%), PAT Rs 2.66 Cr (+32%); earnings-call recording made available online</w:t>
      </w:r>
    </w:p>
    <w:p>
      <w:pPr>
        <w:pStyle w:val="ListParagraph"/>
        <w:numPr>
          <w:ilvl w:val="0"/>
          <w:numId w:val="1"/>
        </w:numPr>
        <w:spacing w:after="60"/>
      </w:pPr>
      <w:r>
        <w:t xml:space="preserve">New product segment: solar module mounting structures, machinery installed and operational in Q1 FY27</w:t>
      </w:r>
    </w:p>
    <w:p>
      <w:pPr>
        <w:pStyle w:val="ListParagraph"/>
        <w:numPr>
          <w:ilvl w:val="0"/>
          <w:numId w:val="1"/>
        </w:numPr>
        <w:spacing w:after="60"/>
      </w:pPr>
      <w:r>
        <w:t xml:space="preserve">~Rs 5 Cr machinery capex in Q1 FY27 (high-speed roll-forming machines, CNC plasma cutting); Phase 5 &amp; 6 expansions under construction, ~half of Phase 6 operationalised for light fabrication</w:t>
      </w:r>
    </w:p>
    <w:p>
      <w:pPr>
        <w:pStyle w:val="ListParagraph"/>
        <w:numPr>
          <w:ilvl w:val="0"/>
          <w:numId w:val="1"/>
        </w:numPr>
        <w:spacing w:after="60"/>
      </w:pPr>
      <w:r>
        <w:t xml:space="preserve">No regulatory-adverse disclosures</w:t>
      </w:r>
    </w:p>
    <w:p>
      <w:pPr>
        <w:spacing w:after="120"/>
      </w:pPr>
      <w:r>
        <w:rPr>
          <w:b/>
          <w:bCs/>
          <w:sz w:val="20"/>
          <w:szCs w:val="20"/>
        </w:rPr>
        <w:t xml:space="preserve">Key new facts vs. the prior write-up:</w:t>
      </w:r>
    </w:p>
    <w:p>
      <w:pPr>
        <w:pStyle w:val="ListParagraph"/>
        <w:numPr>
          <w:ilvl w:val="0"/>
          <w:numId w:val="1"/>
        </w:numPr>
        <w:spacing w:after="60"/>
      </w:pPr>
      <w:r>
        <w:t xml:space="preserve">The capacity ramp that was 'unconfirmed' at the last review has delivered - FY26 revenue +60%, PAT +90%, off internal accruals with debt still ~Rs 3 Cr</w:t>
      </w:r>
    </w:p>
    <w:p>
      <w:pPr>
        <w:pStyle w:val="ListParagraph"/>
        <w:numPr>
          <w:ilvl w:val="0"/>
          <w:numId w:val="1"/>
        </w:numPr>
        <w:spacing w:after="60"/>
      </w:pPr>
      <w:r>
        <w:t xml:space="preserve">PEB capacity guided to ~1,200 MT/month by Aug 2026 (Phase 5 &amp; 6), a more concrete near-term number than the older 800-&gt;2,000 t/month framing</w:t>
      </w:r>
    </w:p>
    <w:p>
      <w:pPr>
        <w:pStyle w:val="ListParagraph"/>
        <w:numPr>
          <w:ilvl w:val="0"/>
          <w:numId w:val="1"/>
        </w:numPr>
        <w:spacing w:after="60"/>
      </w:pPr>
      <w:r>
        <w:t xml:space="preserve">Solar module mounting structures is a genuinely new, commissioned product line - a second demand vector beyond PEB</w:t>
      </w:r>
    </w:p>
    <w:p>
      <w:pPr>
        <w:pStyle w:val="ListParagraph"/>
        <w:numPr>
          <w:ilvl w:val="0"/>
          <w:numId w:val="1"/>
        </w:numPr>
        <w:spacing w:after="60"/>
      </w:pPr>
      <w:r>
        <w:t xml:space="preserve">Quarterly PAT margin has compressed (~9% -&gt; ~6% over three quarters), confirming the thread's weak-pricing-power concern in the numbers</w:t>
      </w:r>
    </w:p>
    <w:p>
      <w:pPr>
        <w:pStyle w:val="ListParagraph"/>
        <w:numPr>
          <w:ilvl w:val="0"/>
          <w:numId w:val="1"/>
        </w:numPr>
        <w:spacing w:after="60"/>
      </w:pPr>
      <w:r>
        <w:t xml:space="preserve">Stock has re-rated out of its multi-year Rs 98-135 band to ~Rs 160-165; P/E ~18x, mcap ~Rs 200 Cr</w:t>
      </w:r>
    </w:p>
    <w:p>
      <w:pPr>
        <w:spacing w:after="120"/>
      </w:pPr>
      <w:r>
        <w:rPr>
          <w:b/>
          <w:bCs/>
          <w:sz w:val="20"/>
          <w:szCs w:val="20"/>
        </w:rPr>
        <w:t xml:space="preserve">Open questions / what to watch:</w:t>
      </w:r>
    </w:p>
    <w:p>
      <w:pPr>
        <w:pStyle w:val="ListParagraph"/>
        <w:numPr>
          <w:ilvl w:val="0"/>
          <w:numId w:val="1"/>
        </w:numPr>
        <w:spacing w:after="60"/>
      </w:pPr>
      <w:r>
        <w:t xml:space="preserve">Do Q2-Q3 FY27 margins recover, or is ~6% PAT margin the new normal as competition and steel pass-through bite?</w:t>
      </w:r>
    </w:p>
    <w:p>
      <w:pPr>
        <w:pStyle w:val="ListParagraph"/>
        <w:numPr>
          <w:ilvl w:val="0"/>
          <w:numId w:val="1"/>
        </w:numPr>
        <w:spacing w:after="60"/>
      </w:pPr>
      <w:r>
        <w:t xml:space="preserve">How large can solar module mounting structures realistically get, and at what margin vs PEB?</w:t>
      </w:r>
    </w:p>
    <w:p>
      <w:pPr>
        <w:pStyle w:val="ListParagraph"/>
        <w:numPr>
          <w:ilvl w:val="0"/>
          <w:numId w:val="1"/>
        </w:numPr>
        <w:spacing w:after="60"/>
      </w:pPr>
      <w:r>
        <w:t xml:space="preserve">Is the ~Rs 200-250 Cr stated revenue ceiling a hard cap, or does management raise the capacity/target again once Phase 5/6 stabilise?</w:t>
      </w:r>
    </w:p>
    <w:p>
      <w:pPr>
        <w:pStyle w:val="ListParagraph"/>
        <w:numPr>
          <w:ilvl w:val="0"/>
          <w:numId w:val="1"/>
        </w:numPr>
        <w:spacing w:after="60"/>
      </w:pPr>
      <w:r>
        <w:t xml:space="preserve">Any repeat of the 2018 over-promise/under-deliver pattern as the build-out compounds?</w:t>
      </w:r>
    </w:p>
    <w:p>
      <w:pPr>
        <w:spacing w:after="120" w:before="120"/>
      </w:pPr>
      <w:r>
        <w:rPr>
          <w:b/>
          <w:bCs/>
          <w:sz w:val="20"/>
          <w:szCs w:val="20"/>
        </w:rPr>
        <w:t xml:space="preserve">Conviction impact: </w:t>
      </w:r>
      <w:r>
        <w:rPr>
          <w:sz w:val="20"/>
          <w:szCs w:val="20"/>
        </w:rPr>
        <w:t xml:space="preserve">Low-Medium -&gt; Medium. FY26 delivered the long-promised ramp (revenue +60%, PAT +90%) while staying near debt-free at ~34% ROCE, and a new solar-structure line adds optionality; but weak PEB pricing power (visible in the ~9%-&gt;~6% quarterly PAT-margin slide), a capacity-bound revenue ceiling and a stock that has already partly re-rated cap it at Medium.</w:t>
      </w:r>
    </w:p>
    <w:p>
      <w:pPr>
        <w:pStyle w:val="Heading1"/>
        <w:spacing w:after="120" w:before="280"/>
      </w:pPr>
      <w:r>
        <w:t xml:space="preserve">Guidance &amp; Expectation Gap</w:t>
      </w:r>
    </w:p>
    <w:p>
      <w:pPr>
        <w:spacing w:after="120"/>
      </w:pPr>
      <w:r>
        <w:rPr>
          <w:i/>
          <w:iCs/>
          <w:color w:val="666666"/>
          <w:sz w:val="18"/>
          <w:szCs w:val="18"/>
        </w:rPr>
        <w:t xml:space="preserve">Management guidance decoded into commitments, graded on the expectation → action → operational → commercial → financial ladder, then compared to what the current price appears to assume. Method: playbook/guidance-and-expectation-gap.md.</w:t>
      </w:r>
    </w:p>
    <w:p>
      <w:pPr>
        <w:spacing w:after="120"/>
      </w:pPr>
      <w:r>
        <w:rPr>
          <w:b/>
          <w:bCs/>
          <w:sz w:val="20"/>
          <w:szCs w:val="20"/>
        </w:rPr>
        <w:t xml:space="preserve">Commitment ladder (most-proven first):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400"/>
        <w:gridCol w:w="900"/>
        <w:gridCol w:w="1200"/>
        <w:gridCol w:w="800"/>
      </w:tblGrid>
      <w:tr>
        <w:trPr>
          <w:tblHeader/>
        </w:trPr>
        <w:tc>
          <w:tcPr>
            <w:tcW w:type="dxa" w:w="1100"/>
            <w:shd w:fill="F2F2F2" w:val="clear"/>
          </w:tcPr>
          <w:p>
            <w:r>
              <w:rPr>
                <w:b/>
                <w:bCs/>
                <w:sz w:val="18"/>
                <w:szCs w:val="18"/>
              </w:rPr>
              <w:t xml:space="preserve">Area</w:t>
            </w:r>
          </w:p>
        </w:tc>
        <w:tc>
          <w:tcPr>
            <w:tcW w:type="dxa" w:w="2600"/>
            <w:shd w:fill="F2F2F2" w:val="clear"/>
          </w:tcPr>
          <w:p>
            <w:r>
              <w:rPr>
                <w:b/>
                <w:bCs/>
                <w:sz w:val="18"/>
                <w:szCs w:val="18"/>
              </w:rPr>
              <w:t xml:space="preserve">Commitment</w:t>
            </w:r>
          </w:p>
        </w:tc>
        <w:tc>
          <w:tcPr>
            <w:tcW w:type="dxa" w:w="2400"/>
            <w:shd w:fill="F2F2F2" w:val="clear"/>
          </w:tcPr>
          <w:p>
            <w:r>
              <w:rPr>
                <w:b/>
                <w:bCs/>
                <w:sz w:val="18"/>
                <w:szCs w:val="18"/>
              </w:rPr>
              <w:t xml:space="preserve">Specifics</w:t>
            </w:r>
          </w:p>
        </w:tc>
        <w:tc>
          <w:tcPr>
            <w:tcW w:type="dxa" w:w="900"/>
            <w:shd w:fill="F2F2F2" w:val="clear"/>
          </w:tcPr>
          <w:p>
            <w:r>
              <w:rPr>
                <w:b/>
                <w:bCs/>
                <w:sz w:val="18"/>
                <w:szCs w:val="18"/>
              </w:rPr>
              <w:t xml:space="preserve">By when</w:t>
            </w:r>
          </w:p>
        </w:tc>
        <w:tc>
          <w:tcPr>
            <w:tcW w:type="dxa" w:w="1200"/>
            <w:shd w:fill="F2F2F2" w:val="clear"/>
          </w:tcPr>
          <w:p>
            <w:r>
              <w:rPr>
                <w:b/>
                <w:bCs/>
                <w:sz w:val="18"/>
                <w:szCs w:val="18"/>
              </w:rPr>
              <w:t xml:space="preserve">Stage</w:t>
            </w:r>
          </w:p>
        </w:tc>
        <w:tc>
          <w:tcPr>
            <w:tcW w:type="dxa" w:w="800"/>
            <w:shd w:fill="F2F2F2" w:val="clear"/>
          </w:tcPr>
          <w:p>
            <w:r>
              <w:rPr>
                <w:b/>
                <w:bCs/>
                <w:sz w:val="18"/>
                <w:szCs w:val="18"/>
              </w:rPr>
              <w:t xml:space="preserve">Thesis-critical</w:t>
            </w:r>
          </w:p>
        </w:tc>
      </w:tr>
      <w:tr>
        <w:tc>
          <w:tcPr>
            <w:tcW w:type="dxa" w:w="1100"/>
          </w:tcPr>
          <w:p>
            <w:r>
              <w:rPr>
                <w:b w:val="false"/>
                <w:bCs w:val="false"/>
                <w:sz w:val="18"/>
                <w:szCs w:val="18"/>
              </w:rPr>
              <w:t xml:space="preserve">capacity</w:t>
            </w:r>
          </w:p>
        </w:tc>
        <w:tc>
          <w:tcPr>
            <w:tcW w:type="dxa" w:w="2600"/>
          </w:tcPr>
          <w:p>
            <w:r>
              <w:rPr>
                <w:b w:val="false"/>
                <w:bCs w:val="false"/>
                <w:sz w:val="18"/>
                <w:szCs w:val="18"/>
              </w:rPr>
              <w:t xml:space="preserve">PEB capacity to ~1,200 MT/month via Phase 5 &amp; 6</w:t>
            </w:r>
          </w:p>
        </w:tc>
        <w:tc>
          <w:tcPr>
            <w:tcW w:type="dxa" w:w="2400"/>
          </w:tcPr>
          <w:p>
            <w:r>
              <w:rPr>
                <w:b w:val="false"/>
                <w:bCs w:val="false"/>
                <w:sz w:val="18"/>
                <w:szCs w:val="18"/>
              </w:rPr>
              <w:t xml:space="preserve">from ~800 t/month; longer-term ~2,000 t/month / ~Rs 200-250 Cr revenue</w:t>
            </w:r>
          </w:p>
        </w:tc>
        <w:tc>
          <w:tcPr>
            <w:tcW w:type="dxa" w:w="900"/>
          </w:tcPr>
          <w:p>
            <w:r>
              <w:rPr>
                <w:b w:val="false"/>
                <w:bCs w:val="false"/>
                <w:sz w:val="18"/>
                <w:szCs w:val="18"/>
              </w:rPr>
              <w:t xml:space="preserve">6M</w:t>
            </w:r>
          </w:p>
        </w:tc>
        <w:tc>
          <w:tcPr>
            <w:tcW w:type="dxa" w:w="1200"/>
          </w:tcPr>
          <w:p>
            <w:r>
              <w:rPr>
                <w:b w:val="false"/>
                <w:bCs w:val="false"/>
                <w:sz w:val="18"/>
                <w:szCs w:val="18"/>
              </w:rPr>
              <w:t xml:space="preserve">operational</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new_business</w:t>
            </w:r>
          </w:p>
        </w:tc>
        <w:tc>
          <w:tcPr>
            <w:tcW w:type="dxa" w:w="2600"/>
          </w:tcPr>
          <w:p>
            <w:r>
              <w:rPr>
                <w:b w:val="false"/>
                <w:bCs w:val="false"/>
                <w:sz w:val="18"/>
                <w:szCs w:val="18"/>
              </w:rPr>
              <w:t xml:space="preserve">Solar module mounting structures as a new product line</w:t>
            </w:r>
          </w:p>
        </w:tc>
        <w:tc>
          <w:tcPr>
            <w:tcW w:type="dxa" w:w="2400"/>
          </w:tcPr>
          <w:p>
            <w:r>
              <w:rPr>
                <w:b w:val="false"/>
                <w:bCs w:val="false"/>
                <w:sz w:val="18"/>
                <w:szCs w:val="18"/>
              </w:rPr>
              <w:t xml:space="preserve">roll-forming + CNC plasma machinery installed and operational Q1 FY27</w:t>
            </w:r>
          </w:p>
        </w:tc>
        <w:tc>
          <w:tcPr>
            <w:tcW w:type="dxa" w:w="900"/>
          </w:tcPr>
          <w:p>
            <w:r>
              <w:rPr>
                <w:b w:val="false"/>
                <w:bCs w:val="false"/>
                <w:sz w:val="18"/>
                <w:szCs w:val="18"/>
              </w:rPr>
              <w:t xml:space="preserve">FY27</w:t>
            </w:r>
          </w:p>
        </w:tc>
        <w:tc>
          <w:tcPr>
            <w:tcW w:type="dxa" w:w="1200"/>
          </w:tcPr>
          <w:p>
            <w:r>
              <w:rPr>
                <w:b w:val="false"/>
                <w:bCs w:val="false"/>
                <w:sz w:val="18"/>
                <w:szCs w:val="18"/>
              </w:rPr>
              <w:t xml:space="preserve">operational</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growth</w:t>
            </w:r>
          </w:p>
        </w:tc>
        <w:tc>
          <w:tcPr>
            <w:tcW w:type="dxa" w:w="2600"/>
          </w:tcPr>
          <w:p>
            <w:r>
              <w:rPr>
                <w:b w:val="false"/>
                <w:bCs w:val="false"/>
                <w:sz w:val="18"/>
                <w:szCs w:val="18"/>
              </w:rPr>
              <w:t xml:space="preserve">Sustain double-digit-plus revenue growth off the FY26 base</w:t>
            </w:r>
          </w:p>
        </w:tc>
        <w:tc>
          <w:tcPr>
            <w:tcW w:type="dxa" w:w="2400"/>
          </w:tcPr>
          <w:p>
            <w:r>
              <w:rPr>
                <w:b w:val="false"/>
                <w:bCs w:val="false"/>
                <w:sz w:val="18"/>
                <w:szCs w:val="18"/>
              </w:rPr>
              <w:t xml:space="preserve">FY26 +60%; Q1 FY27 +27% YoY</w:t>
            </w:r>
          </w:p>
        </w:tc>
        <w:tc>
          <w:tcPr>
            <w:tcW w:type="dxa" w:w="900"/>
          </w:tcPr>
          <w:p>
            <w:r>
              <w:rPr>
                <w:b w:val="false"/>
                <w:bCs w:val="false"/>
                <w:sz w:val="18"/>
                <w:szCs w:val="18"/>
              </w:rPr>
              <w:t xml:space="preserve">FY27</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
            </w:r>
          </w:p>
        </w:tc>
      </w:tr>
    </w:tbl>
    <w:p>
      <w:pPr>
        <w:spacing w:after="60" w:before="120"/>
      </w:pPr>
      <w:r>
        <w:rPr>
          <w:b/>
          <w:bCs/>
          <w:sz w:val="20"/>
          <w:szCs w:val="20"/>
        </w:rPr>
        <w:t xml:space="preserve">Earnings chain: </w:t>
      </w:r>
      <w:r>
        <w:rPr>
          <w:b w:val="false"/>
          <w:bCs w:val="false"/>
          <w:sz w:val="20"/>
          <w:szCs w:val="20"/>
        </w:rPr>
        <w:t xml:space="preserve">infra/warehousing/solar capex demand</w:t>
      </w:r>
      <w:r>
        <w:rPr>
          <w:color w:val="666666"/>
          <w:sz w:val="20"/>
          <w:szCs w:val="20"/>
        </w:rPr>
        <w:t xml:space="preserve"> → </w:t>
      </w:r>
      <w:r>
        <w:rPr>
          <w:b/>
          <w:bCs/>
          <w:color w:val="A32020"/>
          <w:sz w:val="20"/>
          <w:szCs w:val="20"/>
        </w:rPr>
        <w:t xml:space="preserve">Phase 5 &amp; 6 capacity live (~1,200 MT/month)</w:t>
      </w:r>
      <w:r>
        <w:rPr>
          <w:color w:val="666666"/>
          <w:sz w:val="20"/>
          <w:szCs w:val="20"/>
        </w:rPr>
        <w:t xml:space="preserve"> → </w:t>
      </w:r>
      <w:r>
        <w:rPr>
          <w:b w:val="false"/>
          <w:bCs w:val="false"/>
          <w:sz w:val="20"/>
          <w:szCs w:val="20"/>
        </w:rPr>
        <w:t xml:space="preserve">volume growth</w:t>
      </w:r>
      <w:r>
        <w:rPr>
          <w:color w:val="666666"/>
          <w:sz w:val="20"/>
          <w:szCs w:val="20"/>
        </w:rPr>
        <w:t xml:space="preserve"> → </w:t>
      </w:r>
      <w:r>
        <w:rPr>
          <w:b w:val="false"/>
          <w:bCs w:val="false"/>
          <w:sz w:val="20"/>
          <w:szCs w:val="20"/>
        </w:rPr>
        <w:t xml:space="preserve">operating leverage on fixed base</w:t>
      </w:r>
      <w:r>
        <w:rPr>
          <w:color w:val="666666"/>
          <w:sz w:val="20"/>
          <w:szCs w:val="20"/>
        </w:rPr>
        <w:t xml:space="preserve"> → </w:t>
      </w:r>
      <w:r>
        <w:rPr>
          <w:b w:val="false"/>
          <w:bCs w:val="false"/>
          <w:sz w:val="20"/>
          <w:szCs w:val="20"/>
        </w:rPr>
        <w:t xml:space="preserve">EBITDA margin ~10-11%</w:t>
      </w:r>
      <w:r>
        <w:rPr>
          <w:color w:val="666666"/>
          <w:sz w:val="20"/>
          <w:szCs w:val="20"/>
        </w:rPr>
        <w:t xml:space="preserve"> → </w:t>
      </w:r>
      <w:r>
        <w:rPr>
          <w:b w:val="false"/>
          <w:bCs w:val="false"/>
          <w:sz w:val="20"/>
          <w:szCs w:val="20"/>
        </w:rPr>
        <w:t xml:space="preserve">PAT</w:t>
      </w:r>
    </w:p>
    <w:p>
      <w:pPr>
        <w:spacing w:after="120"/>
      </w:pPr>
      <w:r>
        <w:rPr>
          <w:color w:val="666666"/>
          <w:sz w:val="18"/>
          <w:szCs w:val="18"/>
        </w:rPr>
        <w:t xml:space="preserve">Bottleneck link: Phase 5 &amp; 6 capacity live (~1,200 MT/month).</w:t>
      </w:r>
    </w:p>
    <w:p>
      <w:pPr>
        <w:spacing w:after="120"/>
      </w:pPr>
      <w:r>
        <w:rPr>
          <w:color w:val="666666"/>
          <w:sz w:val="18"/>
          <w:szCs w:val="18"/>
        </w:rPr>
        <w:t xml:space="preserve">Operating leverage: yes - FY26 PAT +90% on revenue +60% shows leverage, but Q1 FY27 margin compression shows it is fragile to pricing</w:t>
      </w:r>
    </w:p>
    <w:p>
      <w:pPr>
        <w:spacing w:after="120"/>
      </w:pPr>
      <w:r>
        <w:rPr>
          <w:color w:val="666666"/>
          <w:sz w:val="18"/>
          <w:szCs w:val="18"/>
        </w:rPr>
        <w:t xml:space="preserve">Evidenced: infra/warehousing/solar capex demand; Phase 5 &amp; 6 capacity live (~1,200 MT/month); volume growth. Still assumed: operating leverage on fixed base; EBITDA margin ~10-11%.</w:t>
      </w:r>
    </w:p>
    <w:p>
      <w:pPr>
        <w:spacing w:after="120"/>
      </w:pPr>
      <w:r>
        <w:rPr>
          <w:b/>
          <w:bCs/>
          <w:sz w:val="20"/>
          <w:szCs w:val="20"/>
        </w:rPr>
        <w:t xml:space="preserve">Market expectation vs. our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 of</w:t>
            </w:r>
          </w:p>
        </w:tc>
        <w:tc>
          <w:tcPr>
            <w:tcW w:type="dxa" w:w="5800"/>
          </w:tcPr>
          <w:p>
            <w:r>
              <w:t xml:space="preserve">2026-09-08</w:t>
            </w:r>
          </w:p>
        </w:tc>
      </w:tr>
      <w:tr>
        <w:tc>
          <w:tcPr>
            <w:tcW w:type="dxa" w:w="3200"/>
            <w:shd w:fill="F2F2F2" w:val="clear"/>
          </w:tcPr>
          <w:p>
            <w:r>
              <w:rPr>
                <w:b/>
                <w:bCs/>
              </w:rPr>
              <w:t xml:space="preserve">Price / multiple</w:t>
            </w:r>
          </w:p>
        </w:tc>
        <w:tc>
          <w:tcPr>
            <w:tcW w:type="dxa" w:w="5800"/>
          </w:tcPr>
          <w:p>
            <w:r>
              <w:t xml:space="preserve">18x P/E</w:t>
            </w:r>
          </w:p>
        </w:tc>
      </w:tr>
      <w:tr>
        <w:tc>
          <w:tcPr>
            <w:tcW w:type="dxa" w:w="3200"/>
            <w:shd w:fill="F2F2F2" w:val="clear"/>
          </w:tcPr>
          <w:p>
            <w:r>
              <w:rPr>
                <w:b/>
                <w:bCs/>
              </w:rPr>
              <w:t xml:space="preserve">Right valuation lens</w:t>
            </w:r>
          </w:p>
        </w:tc>
        <w:tc>
          <w:tcPr>
            <w:tcW w:type="dxa" w:w="5800"/>
          </w:tcPr>
          <w:p>
            <w:r>
              <w:t xml:space="preserve">P/E</w:t>
            </w:r>
          </w:p>
        </w:tc>
      </w:tr>
      <w:tr>
        <w:tc>
          <w:tcPr>
            <w:tcW w:type="dxa" w:w="3200"/>
            <w:shd w:fill="F2F2F2" w:val="clear"/>
          </w:tcPr>
          <w:p>
            <w:r>
              <w:rPr>
                <w:b/>
                <w:bCs/>
              </w:rPr>
              <w:t xml:space="preserve">Price implies</w:t>
            </w:r>
          </w:p>
        </w:tc>
        <w:tc>
          <w:tcPr>
            <w:tcW w:type="dxa" w:w="5800"/>
          </w:tcPr>
          <w:p>
            <w:r>
              <w:t xml:space="preserve">~18x trailing on FY26 EPS needs ~15-18% EPS CAGR FY26-28 at a ~16x cyclical-fabricator exit to be fair; the FY26 jump already banked, Q1 FY27 +27% rev / flat-to-down margin roughly supports that path</w:t>
            </w:r>
          </w:p>
        </w:tc>
      </w:tr>
      <w:tr>
        <w:tc>
          <w:tcPr>
            <w:tcW w:type="dxa" w:w="3200"/>
            <w:shd w:fill="F2F2F2" w:val="clear"/>
          </w:tcPr>
          <w:p>
            <w:r>
              <w:rPr>
                <w:b/>
                <w:bCs/>
              </w:rPr>
              <w:t xml:space="preserve">Our FY27</w:t>
            </w:r>
          </w:p>
        </w:tc>
        <w:tc>
          <w:tcPr>
            <w:tcW w:type="dxa" w:w="5800"/>
          </w:tcPr>
          <w:p>
            <w:r>
              <w:t xml:space="preserve">revenue ~Rs 190-210 Cr (+25-35%), EBITDA margin ~9.5-10.5%, PAT ~Rs 12-14 Cr</w:t>
            </w:r>
          </w:p>
        </w:tc>
      </w:tr>
      <w:tr>
        <w:tc>
          <w:tcPr>
            <w:tcW w:type="dxa" w:w="3200"/>
            <w:shd w:fill="F2F2F2" w:val="clear"/>
          </w:tcPr>
          <w:p>
            <w:r>
              <w:rPr>
                <w:b/>
                <w:bCs/>
              </w:rPr>
              <w:t xml:space="preserve">Our FY28</w:t>
            </w:r>
          </w:p>
        </w:tc>
        <w:tc>
          <w:tcPr>
            <w:tcW w:type="dxa" w:w="5800"/>
          </w:tcPr>
          <w:p>
            <w:r>
              <w:t xml:space="preserve">revenue toward the ~Rs 230-260 Cr capacity ceiling plus early solar-structure contribution; PAT ~Rs 15-18 Cr if margins hold</w:t>
            </w:r>
          </w:p>
        </w:tc>
      </w:tr>
      <w:tr>
        <w:tc>
          <w:tcPr>
            <w:tcW w:type="dxa" w:w="3200"/>
            <w:shd w:fill="F2F2F2" w:val="clear"/>
          </w:tcPr>
          <w:p>
            <w:r>
              <w:rPr>
                <w:b/>
                <w:bCs/>
              </w:rPr>
              <w:t xml:space="preserve">Gap direction</w:t>
            </w:r>
          </w:p>
        </w:tc>
        <w:tc>
          <w:tcPr>
            <w:tcW w:type="dxa" w:w="5800"/>
          </w:tcPr>
          <w:p>
            <w:r>
              <w:t xml:space="preserve">priced-in</w:t>
            </w:r>
          </w:p>
        </w:tc>
      </w:tr>
      <w:tr>
        <w:tc>
          <w:tcPr>
            <w:tcW w:type="dxa" w:w="3200"/>
            <w:shd w:fill="F2F2F2" w:val="clear"/>
          </w:tcPr>
          <w:p>
            <w:r>
              <w:rPr>
                <w:b/>
                <w:bCs/>
              </w:rPr>
              <w:t xml:space="preserve">Gap type</w:t>
            </w:r>
          </w:p>
        </w:tc>
        <w:tc>
          <w:tcPr>
            <w:tcW w:type="dxa" w:w="5800"/>
          </w:tcPr>
          <w:p>
            <w:r>
              <w:t xml:space="preserve">margin</w:t>
            </w:r>
          </w:p>
        </w:tc>
      </w:tr>
      <w:tr>
        <w:tc>
          <w:tcPr>
            <w:tcW w:type="dxa" w:w="3200"/>
            <w:shd w:fill="F2F2F2" w:val="clear"/>
          </w:tcPr>
          <w:p>
            <w:r>
              <w:rPr>
                <w:b/>
                <w:bCs/>
              </w:rPr>
              <w:t xml:space="preserve">Gap magnitude</w:t>
            </w:r>
          </w:p>
        </w:tc>
        <w:tc>
          <w:tcPr>
            <w:tcW w:type="dxa" w:w="5800"/>
          </w:tcPr>
          <w:p>
            <w:r>
              <w:t xml:space="preserve">0% (our FY28 PAT vs implied)</w:t>
            </w:r>
          </w:p>
        </w:tc>
      </w:tr>
      <w:tr>
        <w:tc>
          <w:tcPr>
            <w:tcW w:type="dxa" w:w="3200"/>
            <w:shd w:fill="F2F2F2" w:val="clear"/>
          </w:tcPr>
          <w:p>
            <w:r>
              <w:rPr>
                <w:b/>
                <w:bCs/>
              </w:rPr>
              <w:t xml:space="preserve">Gap basis</w:t>
            </w:r>
          </w:p>
        </w:tc>
        <w:tc>
          <w:tcPr>
            <w:tcW w:type="dxa" w:w="5800"/>
          </w:tcPr>
          <w:p>
            <w:r>
              <w:t xml:space="preserve">post the FY26 re-rating the multiple already reflects the ramp; upside now depends on solar structures scaling beyond the stated PEB ceiling and margins recovering - neither yet evidenced</w:t>
            </w:r>
          </w:p>
        </w:tc>
      </w:tr>
      <w:tr>
        <w:tc>
          <w:tcPr>
            <w:tcW w:type="dxa" w:w="3200"/>
            <w:shd w:fill="F2F2F2" w:val="clear"/>
          </w:tcPr>
          <w:p>
            <w:r>
              <w:rPr>
                <w:b/>
                <w:bCs/>
              </w:rPr>
              <w:t xml:space="preserve">Evidence quality</w:t>
            </w:r>
          </w:p>
        </w:tc>
        <w:tc>
          <w:tcPr>
            <w:tcW w:type="dxa" w:w="5800"/>
          </w:tcPr>
          <w:p>
            <w:r>
              <w:t xml:space="preserve">moderate</w:t>
            </w:r>
          </w:p>
        </w:tc>
      </w:tr>
    </w:tbl>
    <w:p>
      <w:pPr>
        <w:spacing w:after="120"/>
      </w:pPr>
      <w:r>
        <w:rPr>
          <w:i/>
          <w:iCs/>
          <w:color w:val="666666"/>
          <w:sz w:val="16"/>
          <w:szCs w:val="16"/>
        </w:rPr>
        <w:t xml:space="preserve">no broker consensus; implied path is a reverse-P/E estimate + screener.in forward figures + VP thread view</w:t>
      </w:r>
    </w:p>
    <w:p>
      <w:pPr>
        <w:spacing w:after="120" w:before="120"/>
      </w:pPr>
      <w:r>
        <w:rPr>
          <w:b/>
          <w:bCs/>
          <w:sz w:val="20"/>
          <w:szCs w:val="20"/>
        </w:rPr>
        <w:t xml:space="preserve">Catalyst: </w:t>
      </w:r>
      <w:r>
        <w:rPr>
          <w:sz w:val="20"/>
          <w:szCs w:val="20"/>
        </w:rPr>
        <w:t xml:space="preserve">Phase 5 &amp; 6 commissioning confirmation + a Q2/Q3 FY27 print showing margin recovery and solar-structure revenue</w:t>
      </w:r>
      <w:r>
        <w:rPr>
          <w:color w:val="666666"/>
          <w:sz w:val="18"/>
          <w:szCs w:val="18"/>
        </w:rPr>
        <w:t xml:space="preserve"> (window ~9M from 2026-09-08; undated; evidence med; pending)</w:t>
      </w:r>
    </w:p>
    <w:p>
      <w:pPr>
        <w:pStyle w:val="Heading1"/>
        <w:spacing w:after="120" w:before="280"/>
      </w:pPr>
      <w:r>
        <w:t xml:space="preserve">Ishmohit-Lens Checks (value chain · earnings quality · growth trajectory · management · quality metrics · track record · global-signal check)</w:t>
      </w:r>
    </w:p>
    <w:p>
      <w:pPr>
        <w:spacing w:after="120"/>
      </w:pPr>
      <w:r>
        <w:rPr>
          <w:i/>
          <w:iCs/>
          <w:color w:val="666666"/>
          <w:sz w:val="18"/>
          <w:szCs w:val="18"/>
        </w:rPr>
        <w:t xml:space="preserve">Extra checks drawn from @ishmohit1 / SOIC methodology (playbook/ishmohit-soic-style.md): where the company sits in its value chain and what the supply side is doing, whether a margin/PAT inflection is structural or a cyclical peak, the rate-of-change of growth vs. what the multiple demands, and management quality as a positive attribute.</w:t>
      </w:r>
    </w:p>
    <w:p>
      <w:pPr>
        <w:spacing w:after="120"/>
      </w:pPr>
      <w:r>
        <w:rPr>
          <w:b/>
          <w:bCs/>
          <w:sz w:val="20"/>
          <w:szCs w:val="20"/>
        </w:rPr>
        <w:t xml:space="preserve">Value chain &amp; supply side: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Theme</w:t>
            </w:r>
          </w:p>
        </w:tc>
        <w:tc>
          <w:tcPr>
            <w:tcW w:type="dxa" w:w="5800"/>
          </w:tcPr>
          <w:p>
            <w:r>
              <w:t xml:space="preserve">industrial / warehousing construction + solar mounting structures</w:t>
            </w:r>
          </w:p>
        </w:tc>
      </w:tr>
      <w:tr>
        <w:tc>
          <w:tcPr>
            <w:tcW w:type="dxa" w:w="3200"/>
            <w:shd w:fill="F2F2F2" w:val="clear"/>
          </w:tcPr>
          <w:p>
            <w:r>
              <w:rPr>
                <w:b/>
                <w:bCs/>
              </w:rPr>
              <w:t xml:space="preserve">This company's position</w:t>
            </w:r>
          </w:p>
        </w:tc>
        <w:tc>
          <w:tcPr>
            <w:tcW w:type="dxa" w:w="5800"/>
          </w:tcPr>
          <w:p>
            <w:r>
              <w:t xml:space="preserve">PEB fabricator and installer for factory sheds / warehouses / showrooms in Gujarat; new entrant in solar module mounting structures</w:t>
            </w:r>
          </w:p>
        </w:tc>
      </w:tr>
      <w:tr>
        <w:tc>
          <w:tcPr>
            <w:tcW w:type="dxa" w:w="3200"/>
            <w:shd w:fill="F2F2F2" w:val="clear"/>
          </w:tcPr>
          <w:p>
            <w:r>
              <w:rPr>
                <w:b/>
                <w:bCs/>
              </w:rPr>
              <w:t xml:space="preserve">Bottleneck node (pricing power)</w:t>
            </w:r>
          </w:p>
        </w:tc>
        <w:tc>
          <w:tcPr>
            <w:tcW w:type="dxa" w:w="5800"/>
          </w:tcPr>
          <w:p>
            <w:r>
              <w:t xml:space="preserve">steel input pricing and fabrication capacity; customer relationships in solar</w:t>
            </w:r>
          </w:p>
        </w:tc>
      </w:tr>
      <w:tr>
        <w:tc>
          <w:tcPr>
            <w:tcW w:type="dxa" w:w="3200"/>
            <w:shd w:fill="F2F2F2" w:val="clear"/>
          </w:tcPr>
          <w:p>
            <w:r>
              <w:rPr>
                <w:b/>
                <w:bCs/>
              </w:rPr>
              <w:t xml:space="preserve">Supply-side status</w:t>
            </w:r>
          </w:p>
        </w:tc>
        <w:tc>
          <w:tcPr>
            <w:tcW w:type="dxa" w:w="5800"/>
          </w:tcPr>
          <w:p>
            <w:r>
              <w:t xml:space="preserve">adding</w:t>
            </w:r>
          </w:p>
        </w:tc>
      </w:tr>
      <w:tr>
        <w:tc>
          <w:tcPr>
            <w:tcW w:type="dxa" w:w="3200"/>
            <w:shd w:fill="F2F2F2" w:val="clear"/>
          </w:tcPr>
          <w:p>
            <w:r>
              <w:rPr>
                <w:b/>
                <w:bCs/>
              </w:rPr>
              <w:t xml:space="preserve">Adjacent-node peers</w:t>
            </w:r>
          </w:p>
        </w:tc>
        <w:tc>
          <w:tcPr>
            <w:tcW w:type="dxa" w:w="5800"/>
          </w:tcPr>
          <w:p>
            <w:r>
              <w:t xml:space="preserve">Everest Industries, Interarch Building Products, Pennar Industries, Kirby Building Systems (unlisted)</w:t>
            </w:r>
          </w:p>
        </w:tc>
      </w:tr>
    </w:tbl>
    <w:p>
      <w:pPr>
        <w:spacing w:after="120"/>
      </w:pPr>
      <w:r>
        <w:rPr>
          <w:color w:val="666666"/>
          <w:sz w:val="18"/>
          <w:szCs w:val="18"/>
        </w:rPr>
        <w:t xml:space="preserve">PEB fabrication supply is fragmented and expanding (regional players adding lines) - late-cycle glut risk keeps pricing power weak; the moat, such as it is, is execution speed and local presence, not structural.</w:t>
      </w:r>
    </w:p>
    <w:p>
      <w:pPr>
        <w:spacing w:after="60" w:before="120"/>
      </w:pPr>
      <w:r>
        <w:rPr>
          <w:b/>
          <w:bCs/>
          <w:sz w:val="20"/>
          <w:szCs w:val="20"/>
        </w:rPr>
        <w:t xml:space="preserve">Earnings quality: </w:t>
      </w:r>
      <w:r>
        <w:rPr>
          <w:sz w:val="20"/>
          <w:szCs w:val="20"/>
        </w:rPr>
        <w:t xml:space="preserve">margin driver mixed</w:t>
      </w:r>
      <w:r>
        <w:rPr>
          <w:b/>
          <w:bCs/>
          <w:color w:val="A32020"/>
          <w:sz w:val="20"/>
          <w:szCs w:val="20"/>
        </w:rPr>
        <w:t xml:space="preserve"/>
      </w:r>
    </w:p>
    <w:p>
      <w:pPr>
        <w:spacing w:after="120"/>
      </w:pPr>
      <w:r>
        <w:rPr>
          <w:color w:val="666666"/>
          <w:sz w:val="18"/>
          <w:szCs w:val="18"/>
        </w:rPr>
        <w:t xml:space="preserve">Drivers: volume / operating leverage on a low fixed base (FY26); steel price pass-through timing; product mix (PEB vs deck/purlin vs solar structures).</w:t>
      </w:r>
    </w:p>
    <w:p>
      <w:pPr>
        <w:spacing w:after="120"/>
      </w:pPr>
      <w:r>
        <w:rPr>
          <w:color w:val="666666"/>
          <w:sz w:val="18"/>
          <w:szCs w:val="18"/>
        </w:rPr>
        <w:t xml:space="preserve">FY26 EBITDA margin ~10.3% is within the historical ~8-10% band, not a spike - but the quarterly PAT-margin slide from ~9% (Q3 FY26) to ~6% (Q1 FY27) shows margins are cyclical and pricing-constrained; normalised PAT margin ~6-7%.</w:t>
      </w:r>
    </w:p>
    <w:p>
      <w:pPr>
        <w:spacing w:after="60" w:before="120"/>
      </w:pPr>
      <w:r>
        <w:rPr>
          <w:b/>
          <w:bCs/>
          <w:sz w:val="20"/>
          <w:szCs w:val="20"/>
        </w:rPr>
        <w:t xml:space="preserve">Growth trajectory: </w:t>
      </w:r>
      <w:r>
        <w:rPr>
          <w:b w:val="false"/>
          <w:bCs w:val="false"/>
          <w:sz w:val="20"/>
          <w:szCs w:val="20"/>
        </w:rPr>
        <w:t xml:space="preserve">YoY growth rate is lumpy</w:t>
      </w:r>
    </w:p>
    <w:p>
      <w:pPr>
        <w:spacing w:after="120"/>
      </w:pPr>
      <w:r>
        <w:rPr>
          <w:color w:val="666666"/>
          <w:sz w:val="18"/>
          <w:szCs w:val="18"/>
        </w:rPr>
        <w:t xml:space="preserve">YoY revenue growth oldest-&gt;newest is hard to pin per-quarter (FY25 quarterly base not disclosed), but the shape is: FY24 +14%, FY25 -8%, FY26 +60%, Q1 FY27 +27%. Sequential revenue has risen five straight quarters (36.2 -&gt; 34.1 -&gt; 38.7 -&gt; 45.3 -&gt; 45.9 Rs Cr); PAT is choppier (2.0 -&gt; 1.5 -&gt; 3.6 -&gt; 3.5 -&gt; 2.7).</w:t>
      </w:r>
    </w:p>
    <w:p>
      <w:pPr>
        <w:spacing w:after="120"/>
      </w:pPr>
      <w:r>
        <w:rPr>
          <w:color w:val="666666"/>
          <w:sz w:val="18"/>
          <w:szCs w:val="18"/>
        </w:rPr>
        <w:t xml:space="preserve">Reverse P/E: ~18x trailing needs ~15-18% EPS CAGR FY26-28; the volume trajectory supports the revenue leg but flat-to-down margins mean EPS growth may lag revenue growth.</w:t>
      </w:r>
    </w:p>
    <w:p>
      <w:pPr>
        <w:spacing w:after="120"/>
      </w:pPr>
      <w:r>
        <w:rPr>
          <w:b/>
          <w:bCs/>
          <w:sz w:val="20"/>
          <w:szCs w:val="20"/>
        </w:rPr>
        <w:t xml:space="preserve">Management quality (TVGP's "P"):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positive</w:t>
            </w:r>
          </w:p>
        </w:tc>
      </w:tr>
      <w:tr>
        <w:tc>
          <w:tcPr>
            <w:tcW w:type="dxa" w:w="3200"/>
            <w:shd w:fill="F2F2F2" w:val="clear"/>
          </w:tcPr>
          <w:p>
            <w:r>
              <w:rPr>
                <w:b/>
                <w:bCs/>
              </w:rPr>
              <w:t xml:space="preserve">Capital allocation</w:t>
            </w:r>
          </w:p>
        </w:tc>
        <w:tc>
          <w:tcPr>
            <w:tcW w:type="dxa" w:w="5800"/>
          </w:tcPr>
          <w:p>
            <w:r>
              <w:t xml:space="preserve">FY26 capex funded entirely from ~Rs 8 Cr internal CFO; incremental capital earning high returns so far (ROCE ~34%, near-zero debt). No unrelated diversification - solar mounting structures is adjacent fabrication. Small dividend (Rs 2/share) initiated alongside reinvestment. (disciplined)</w:t>
            </w:r>
          </w:p>
        </w:tc>
      </w:tr>
      <w:tr>
        <w:tc>
          <w:tcPr>
            <w:tcW w:type="dxa" w:w="3200"/>
            <w:shd w:fill="F2F2F2" w:val="clear"/>
          </w:tcPr>
          <w:p>
            <w:r>
              <w:rPr>
                <w:b/>
                <w:bCs/>
              </w:rPr>
              <w:t xml:space="preserve">Related-party trend</w:t>
            </w:r>
          </w:p>
        </w:tc>
        <w:tc>
          <w:tcPr>
            <w:tcW w:type="dxa" w:w="5800"/>
          </w:tcPr>
          <w:p>
            <w:r>
              <w:t xml:space="preserve">unclear</w:t>
            </w:r>
          </w:p>
        </w:tc>
      </w:tr>
      <w:tr>
        <w:tc>
          <w:tcPr>
            <w:tcW w:type="dxa" w:w="3200"/>
            <w:shd w:fill="F2F2F2" w:val="clear"/>
          </w:tcPr>
          <w:p>
            <w:r>
              <w:rPr>
                <w:b/>
                <w:bCs/>
              </w:rPr>
              <w:t xml:space="preserve">Guidance credibility</w:t>
            </w:r>
          </w:p>
        </w:tc>
        <w:tc>
          <w:tcPr>
            <w:tcW w:type="dxa" w:w="5800"/>
          </w:tcPr>
          <w:p>
            <w:r>
              <w:t xml:space="preserve">mixed</w:t>
            </w:r>
          </w:p>
        </w:tc>
      </w:tr>
      <w:tr>
        <w:tc>
          <w:tcPr>
            <w:tcW w:type="dxa" w:w="3200"/>
            <w:shd w:fill="F2F2F2" w:val="clear"/>
          </w:tcPr>
          <w:p>
            <w:r>
              <w:rPr>
                <w:b/>
                <w:bCs/>
              </w:rPr>
              <w:t xml:space="preserve">Shareholder returns</w:t>
            </w:r>
          </w:p>
        </w:tc>
        <w:tc>
          <w:tcPr>
            <w:tcW w:type="dxa" w:w="5800"/>
          </w:tcPr>
          <w:p>
            <w:r>
              <w:t xml:space="preserve">initiated</w:t>
            </w:r>
          </w:p>
        </w:tc>
      </w:tr>
      <w:tr>
        <w:tc>
          <w:tcPr>
            <w:tcW w:type="dxa" w:w="3200"/>
            <w:shd w:fill="F2F2F2" w:val="clear"/>
          </w:tcPr>
          <w:p>
            <w:r>
              <w:rPr>
                <w:b/>
                <w:bCs/>
              </w:rPr>
              <w:t xml:space="preserve">Capability ladder / VAP</w:t>
            </w:r>
          </w:p>
        </w:tc>
        <w:tc>
          <w:tcPr>
            <w:tcW w:type="dxa" w:w="5800"/>
          </w:tcPr>
          <w:p>
            <w:r>
              <w:t xml:space="preserve">Moving from pure PEB/roofing fabrication into solar module mounting structures and in-housing components to cut third-party dependence - a modest step up the value curve.</w:t>
            </w:r>
          </w:p>
        </w:tc>
      </w:tr>
    </w:tbl>
    <w:p>
      <w:pPr>
        <w:spacing w:after="120"/>
      </w:pPr>
      <w:r>
        <w:rPr>
          <w:b/>
          <w:bCs/>
          <w:sz w:val="20"/>
          <w:szCs w:val="20"/>
        </w:rPr>
        <w:t xml:space="preserve">Quality metrics (ROCE · debt · FCF · margin · capex):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positive</w:t>
            </w:r>
          </w:p>
        </w:tc>
      </w:tr>
      <w:tr>
        <w:tc>
          <w:tcPr>
            <w:tcW w:type="dxa" w:w="3200"/>
            <w:shd w:fill="F2F2F2" w:val="clear"/>
          </w:tcPr>
          <w:p>
            <w:r>
              <w:rPr>
                <w:b/>
                <w:bCs/>
              </w:rPr>
              <w:t xml:space="preserve">ROCE</w:t>
            </w:r>
          </w:p>
        </w:tc>
        <w:tc>
          <w:tcPr>
            <w:tcW w:type="dxa" w:w="5800"/>
          </w:tcPr>
          <w:p>
            <w:r>
              <w:t xml:space="preserve">34.4% (improving)</w:t>
            </w:r>
          </w:p>
        </w:tc>
      </w:tr>
      <w:tr>
        <w:tc>
          <w:tcPr>
            <w:tcW w:type="dxa" w:w="3200"/>
            <w:shd w:fill="F2F2F2" w:val="clear"/>
          </w:tcPr>
          <w:p>
            <w:r>
              <w:rPr>
                <w:b/>
                <w:bCs/>
              </w:rPr>
              <w:t xml:space="preserve">Leverage</w:t>
            </w:r>
          </w:p>
        </w:tc>
        <w:tc>
          <w:tcPr>
            <w:tcW w:type="dxa" w:w="5800"/>
          </w:tcPr>
          <w:p>
            <w:r>
              <w:t xml:space="preserve">Net debt/EBITDA 0x</w:t>
            </w:r>
          </w:p>
        </w:tc>
      </w:tr>
      <w:tr>
        <w:tc>
          <w:tcPr>
            <w:tcW w:type="dxa" w:w="3200"/>
            <w:shd w:fill="F2F2F2" w:val="clear"/>
          </w:tcPr>
          <w:p>
            <w:r>
              <w:rPr>
                <w:b/>
                <w:bCs/>
              </w:rPr>
              <w:t xml:space="preserve">FCF conversion</w:t>
            </w:r>
          </w:p>
        </w:tc>
        <w:tc>
          <w:tcPr>
            <w:tcW w:type="dxa" w:w="5800"/>
          </w:tcPr>
          <w:p>
            <w:r>
              <w:t xml:space="preserve">20%</w:t>
            </w:r>
          </w:p>
        </w:tc>
      </w:tr>
      <w:tr>
        <w:tc>
          <w:tcPr>
            <w:tcW w:type="dxa" w:w="3200"/>
            <w:shd w:fill="F2F2F2" w:val="clear"/>
          </w:tcPr>
          <w:p>
            <w:r>
              <w:rPr>
                <w:b/>
                <w:bCs/>
              </w:rPr>
              <w:t xml:space="preserve">Margin trend</w:t>
            </w:r>
          </w:p>
        </w:tc>
        <w:tc>
          <w:tcPr>
            <w:tcW w:type="dxa" w:w="5800"/>
          </w:tcPr>
          <w:p>
            <w:r>
              <w:t xml:space="preserve">contracting</w:t>
            </w:r>
          </w:p>
        </w:tc>
      </w:tr>
      <w:tr>
        <w:tc>
          <w:tcPr>
            <w:tcW w:type="dxa" w:w="3200"/>
            <w:shd w:fill="F2F2F2" w:val="clear"/>
          </w:tcPr>
          <w:p>
            <w:r>
              <w:rPr>
                <w:b/>
                <w:bCs/>
              </w:rPr>
              <w:t xml:space="preserve">Capex efficiency</w:t>
            </w:r>
          </w:p>
        </w:tc>
        <w:tc>
          <w:tcPr>
            <w:tcW w:type="dxa" w:w="5800"/>
          </w:tcPr>
          <w:p>
            <w:r>
              <w:t xml:space="preserve">productive</w:t>
            </w:r>
          </w:p>
        </w:tc>
      </w:tr>
    </w:tbl>
    <w:p>
      <w:pPr>
        <w:spacing w:after="60" w:before="120"/>
      </w:pPr>
      <w:r>
        <w:rPr>
          <w:b/>
          <w:bCs/>
          <w:sz w:val="20"/>
          <w:szCs w:val="20"/>
        </w:rPr>
        <w:t xml:space="preserve">Track record (Coffee Can persistence check): </w:t>
      </w:r>
      <w:r>
        <w:rPr>
          <w:sz w:val="20"/>
          <w:szCs w:val="20"/>
        </w:rPr>
        <w:t xml:space="preserve">cleared revenue growth ≥10% AND ROCE ≥15% in 2 of the last 3 years (consistency_score 67)</w:t>
      </w:r>
    </w:p>
    <w:p>
      <w:pPr>
        <w:spacing w:after="120"/>
      </w:pPr>
      <w:r>
        <w:rPr>
          <w:color w:val="666666"/>
          <w:sz w:val="18"/>
          <w:szCs w:val="18"/>
        </w:rPr>
        <w:t xml:space="preserve">Of FY24-FY26 (verifiable from the same filings): FY24 revenue +14% with ROCE &gt;15% -&gt; pass; FY25 revenue -8.5% -&gt; fail; FY26 revenue +60% with ROCE ~34% -&gt; pass. FY23 growth not verifiable (FY22 base not in the same view).</w:t>
      </w:r>
    </w:p>
    <w:p>
      <w:pPr>
        <w:pStyle w:val="Heading1"/>
        <w:spacing w:after="120" w:before="280"/>
      </w:pPr>
      <w:r>
        <w:t xml:space="preserve">Technical Read (Weekly / Monthly MACD + Bollinger Bands, or RSI/CCI/Williams %R proxy)</w:t>
      </w:r>
    </w:p>
    <w:p>
      <w:pPr>
        <w:spacing w:after="120"/>
      </w:pPr>
      <w:r>
        <w:t xml:space="preserve">Not independently pulled; the stock broke its long ~Rs 98-135 band in FY26 and re-rated toward the ~Rs 160-165 area on the earnings step-up, so a partial re-rating has now happened.</w:t>
      </w:r>
    </w:p>
    <w:p>
      <w:pPr>
        <w:pStyle w:val="Heading1"/>
        <w:spacing w:after="120" w:before="280"/>
      </w:pPr>
      <w:r>
        <w:t xml:space="preserve">ValuePickr Community Signal</w:t>
      </w:r>
    </w:p>
    <w:p>
      <w:pPr>
        <w:spacing w:after="120"/>
      </w:pPr>
      <w:r>
        <w:t xml:space="preserve">Full thread read (topic 105356, 13 posts, Jun 2023 - Sep 2024). Positive on numbers, order wins and an aggressive hiring push, but with clear caveats: PEB is 'a tough industry with no pricing power' (comparison to Everest Industries), microcap price action runs ahead of news (the stock moved 70-80% before a Rs 9 Cr order announcement), and there is execution-history risk (the company 'overstated and underachieved' around 2018). A June 2024 concall note lays out the Unit II ramp and the Rs 200-250 Cr revenue target. Thread has been quiet for ~2 years; the FY26 delivery has since validated the ramp the trackers were waiting on.</w:t>
      </w:r>
    </w:p>
    <w:p>
      <w:pPr>
        <w:spacing w:after="120"/>
      </w:pPr>
      <w:r>
        <w:rPr>
          <w:b/>
          <w:bCs/>
          <w:sz w:val="20"/>
          <w:szCs w:val="20"/>
        </w:rPr>
        <w:t xml:space="preserve">High-conviction call from a top contributor: </w:t>
      </w:r>
      <w:r>
        <w:rPr>
          <w:sz w:val="20"/>
          <w:szCs w:val="20"/>
        </w:rPr>
        <w:t xml:space="preserve">No trusted-roster users; no dated high-conviction call. The thread is a small group of trackers who like the quality but flag pricing power and execution as the open questions, and want Gujarat scuttlebutt on new entrants.</w:t>
      </w:r>
    </w:p>
    <w:p>
      <w:pPr>
        <w:pStyle w:val="Heading1"/>
        <w:spacing w:after="120" w:before="280"/>
      </w:pPr>
      <w:r>
        <w:t xml:space="preserve">BSE Corporate Actions / Other Red Flags</w:t>
      </w:r>
    </w:p>
    <w:p>
      <w:pPr>
        <w:spacing w:after="120"/>
      </w:pPr>
      <w:r>
        <w:t xml:space="preserve">Order wins disclosed via BSE historically (e.g. a Rs 9 Cr order in Aug 2023); FY26 results filed with revenue Rs 154.4 Cr / PAT Rs 10.5 Cr and a Rs 2/share dividend; Q1 FY27 results (revenue Rs 45.9 Cr, PAT Rs 2.66 Cr) plus an earnings-call recording made available. Nothing regulatory adverse surfaced.</w:t>
      </w:r>
    </w:p>
    <w:p>
      <w:pPr>
        <w:pStyle w:val="Heading1"/>
        <w:spacing w:after="120" w:before="280"/>
      </w:pPr>
      <w:r>
        <w:t xml:space="preserve">Bull Case</w:t>
      </w:r>
    </w:p>
    <w:p>
      <w:pPr>
        <w:pStyle w:val="ListParagraph"/>
        <w:numPr>
          <w:ilvl w:val="0"/>
          <w:numId w:val="1"/>
        </w:numPr>
        <w:spacing w:after="60"/>
      </w:pPr>
      <w:r>
        <w:t xml:space="preserve">The long-promised capacity ramp has begun converting - FY26 revenue +60% to Rs 154 Cr, PAT +90% to Rs 10.5 Cr - while staying near debt-free and self-funded</w:t>
      </w:r>
    </w:p>
    <w:p>
      <w:pPr>
        <w:pStyle w:val="ListParagraph"/>
        <w:numPr>
          <w:ilvl w:val="0"/>
          <w:numId w:val="1"/>
        </w:numPr>
        <w:spacing w:after="60"/>
      </w:pPr>
      <w:r>
        <w:t xml:space="preserve">Rare microcap combination of high ROCE/ROE (~34%/~28%), near-zero debt and a still-reasonable (~18x) multiple</w:t>
      </w:r>
    </w:p>
    <w:p>
      <w:pPr>
        <w:pStyle w:val="ListParagraph"/>
        <w:numPr>
          <w:ilvl w:val="0"/>
          <w:numId w:val="1"/>
        </w:numPr>
        <w:spacing w:after="60"/>
      </w:pPr>
      <w:r>
        <w:t xml:space="preserve">Phase 5 &amp; 6 lift PEB capacity to ~1,200 MT/month by Aug 2026 (path to ~2,000 t/month, ~Rs 200-250 Cr revenue); new solar module mounting structure line adds a second demand vector</w:t>
      </w:r>
    </w:p>
    <w:p>
      <w:pPr>
        <w:pStyle w:val="ListParagraph"/>
        <w:numPr>
          <w:ilvl w:val="0"/>
          <w:numId w:val="1"/>
        </w:numPr>
        <w:spacing w:after="60"/>
      </w:pPr>
      <w:r>
        <w:t xml:space="preserve">PEB / roofing / solar structures all ride a structural infra + warehousing + renewables capex tailwind</w:t>
      </w:r>
    </w:p>
    <w:p>
      <w:pPr>
        <w:pStyle w:val="ListParagraph"/>
        <w:numPr>
          <w:ilvl w:val="0"/>
          <w:numId w:val="1"/>
        </w:numPr>
        <w:spacing w:after="60"/>
      </w:pPr>
      <w:r>
        <w:t xml:space="preserve">Real, disclosed order wins and a maiden/continuing dividend</w:t>
      </w:r>
    </w:p>
    <w:p>
      <w:pPr>
        <w:pStyle w:val="Heading1"/>
        <w:spacing w:after="120" w:before="280"/>
      </w:pPr>
      <w:r>
        <w:t xml:space="preserve">Bear Case / Key Risks</w:t>
      </w:r>
    </w:p>
    <w:p>
      <w:pPr>
        <w:pStyle w:val="ListParagraph"/>
        <w:numPr>
          <w:ilvl w:val="0"/>
          <w:numId w:val="1"/>
        </w:numPr>
        <w:spacing w:after="60"/>
      </w:pPr>
      <w:r>
        <w:t xml:space="preserve">PEB fabrication has weak, steel-linked pricing power; quarterly PAT margin already compressed from ~9% (Q3 FY26) to ~6% (Q1 FY27) and new Gujarat entrants can compress further</w:t>
      </w:r>
    </w:p>
    <w:p>
      <w:pPr>
        <w:pStyle w:val="ListParagraph"/>
        <w:numPr>
          <w:ilvl w:val="0"/>
          <w:numId w:val="1"/>
        </w:numPr>
        <w:spacing w:after="60"/>
      </w:pPr>
      <w:r>
        <w:t xml:space="preserve">Execution-history risk - the company has a past of over-promising and under-delivering (circa 2018)</w:t>
      </w:r>
    </w:p>
    <w:p>
      <w:pPr>
        <w:pStyle w:val="ListParagraph"/>
        <w:numPr>
          <w:ilvl w:val="0"/>
          <w:numId w:val="1"/>
        </w:numPr>
        <w:spacing w:after="60"/>
      </w:pPr>
      <w:r>
        <w:t xml:space="preserve">Thinly traded microcap where the price has historically front-run news; demand is cyclical and capex-linked</w:t>
      </w:r>
    </w:p>
    <w:p>
      <w:pPr>
        <w:pStyle w:val="ListParagraph"/>
        <w:numPr>
          <w:ilvl w:val="0"/>
          <w:numId w:val="1"/>
        </w:numPr>
        <w:spacing w:after="60"/>
      </w:pPr>
      <w:r>
        <w:t xml:space="preserve">On the stated ~Rs 200-250 Cr revenue ceiling the business is a 2-3x compounder, not an obvious 10x, unless solar structures / value-added mix scale well beyond guidance</w:t>
      </w:r>
    </w:p>
    <w:p>
      <w:pPr>
        <w:pStyle w:val="ListParagraph"/>
        <w:numPr>
          <w:ilvl w:val="0"/>
          <w:numId w:val="1"/>
        </w:numPr>
        <w:spacing w:after="60"/>
      </w:pPr>
      <w:r>
        <w:t xml:space="preserve">No fresh community conviction and the thread has been silent ~2 years</w:t>
      </w:r>
    </w:p>
    <w:p>
      <w:pPr>
        <w:pStyle w:val="Heading1"/>
        <w:spacing w:after="120" w:before="280"/>
      </w:pPr>
      <w:r>
        <w:t xml:space="preserve">Market-Cap Tier (informational — not a gate in this project)</w:t>
      </w:r>
    </w:p>
    <w:p>
      <w:pPr>
        <w:spacing w:after="120"/>
      </w:pPr>
      <w:r>
        <w:rPr>
          <w:b/>
          <w:bCs/>
        </w:rPr>
        <w:t xml:space="preserve">Micro-cap (~Rs 200 Cr)</w:t>
      </w:r>
    </w:p>
    <w:p>
      <w:pPr>
        <w:pStyle w:val="Heading1"/>
        <w:spacing w:after="120" w:before="280"/>
      </w:pPr>
      <w:r>
        <w:t xml:space="preserve">Thesis Fit</w:t>
      </w:r>
    </w:p>
    <w:p>
      <w:pPr>
        <w:spacing w:after="120"/>
      </w:pPr>
      <w:r>
        <w:rPr>
          <w:b/>
          <w:bCs/>
          <w:sz w:val="24"/>
          <w:szCs w:val="24"/>
        </w:rPr>
        <w:t xml:space="preserve">10x-in-2-3-years</w:t>
      </w:r>
    </w:p>
    <w:p>
      <w:pPr>
        <w:spacing w:after="120"/>
      </w:pPr>
      <w:r>
        <w:rPr>
          <w:color w:val="666666"/>
          <w:sz w:val="20"/>
          <w:szCs w:val="20"/>
        </w:rPr>
        <w:t xml:space="preserve">4-box gate — tailwind: yes · TAM: weak · moat: no · valuation: weak  (score 2 / 4)</w:t>
      </w:r>
    </w:p>
    <w:p>
      <w:pPr>
        <w:spacing w:after="120"/>
      </w:pPr>
      <w:r>
        <w:rPr>
          <w:i/>
          <w:iCs/>
          <w:color w:val="666666"/>
          <w:sz w:val="20"/>
          <w:szCs w:val="20"/>
        </w:rPr>
        <w:t xml:space="preserve">tailwind yes (infra + warehousing + solar-structure capex). tam weak - stated PEB capacity caps revenue near Rs 200-250 Cr, a 2-3x off today's base not a clean 10x unless solar structures scale well beyond guidance. moat no - explicitly weak PEB pricing power, fragmented/adding supply, margin compression visible in the quarterlies. valuation weak - re-rated to ~18x on the FY26 jump with margins contracting. Score 2.0; written exception in verdict_reasoning (un-ignorable growth / live small-cap inflection) retains the 10x-in-2-3-years label with conviction capped at Medium.</w:t>
      </w:r>
    </w:p>
    <w:p>
      <w:pPr>
        <w:pStyle w:val="Heading1"/>
        <w:spacing w:after="120" w:before="280"/>
      </w:pPr>
      <w:r>
        <w:t xml:space="preserve">Verdict</w:t>
      </w:r>
    </w:p>
    <w:p>
      <w:pPr>
        <w:spacing w:after="120"/>
      </w:pPr>
      <w:r>
        <w:rPr>
          <w:b/>
          <w:bCs/>
          <w:sz w:val="24"/>
          <w:szCs w:val="24"/>
        </w:rPr>
        <w:t xml:space="preserve">High-quality, still-reasonably-priced microcap whose capacity ramp has started delivering - a Medium-conviction 10x-optionality name, capped by commodity economics and recent margin compression</w:t>
      </w:r>
    </w:p>
    <w:p>
      <w:pPr>
        <w:pStyle w:val="ListParagraph"/>
        <w:numPr>
          <w:ilvl w:val="0"/>
          <w:numId w:val="1"/>
        </w:numPr>
        <w:spacing w:after="60"/>
      </w:pPr>
      <w:r>
        <w:t xml:space="preserve">Legacy-108-screen seed (old bucket Tier A 'genuinely promising growth-with-quality microcap'). The deep read upgrades it: the FY26 print (revenue +60%, PAT +90%, ROCE ~34%, near debt-free) confirms the capacity ramp that was 'unconfirmed' a year ago, and a new solar-mounting-structure line adds optionality - so conviction moves Low-Medium -&gt; Medium</w:t>
      </w:r>
    </w:p>
    <w:p>
      <w:pPr>
        <w:pStyle w:val="ListParagraph"/>
        <w:numPr>
          <w:ilvl w:val="0"/>
          <w:numId w:val="1"/>
        </w:numPr>
        <w:spacing w:after="60"/>
      </w:pPr>
      <w:r>
        <w:t xml:space="preserve">four_box scores 2.0 (tailwind yes; tam weak - stated capacity caps revenue near Rs 250 Cr, a 2-3x not a clean 10x; moat no - weak PEB pricing power; valuation weak - re-rated to ~18x with margins compressing). Written exception per the decision table: growth is un-ignorable (phreak's carve-out) and this is a live small-cap inflection, so the '10x-in-2-3-years' label is retained but conviction is capped at Medium with an 'unconfirmed beyond guidance' caveat</w:t>
      </w:r>
    </w:p>
    <w:p>
      <w:pPr>
        <w:pStyle w:val="ListParagraph"/>
        <w:numPr>
          <w:ilvl w:val="0"/>
          <w:numId w:val="1"/>
        </w:numPr>
        <w:spacing w:after="60"/>
      </w:pPr>
      <w:r>
        <w:t xml:space="preserve">The 10x still needs solar structures / VAP mix to scale well past the stated PEB revenue ceiling AND margins to hold despite limited pricing power - hence Medium, not higher</w:t>
      </w:r>
    </w:p>
    <w:p>
      <w:pPr>
        <w:pStyle w:val="ListParagraph"/>
        <w:numPr>
          <w:ilvl w:val="0"/>
          <w:numId w:val="1"/>
        </w:numPr>
        <w:spacing w:after="60"/>
      </w:pPr>
      <w:r>
        <w:t xml:space="preserve">No red-flag tier. Worth re-checking on the Phase 5/6 commissioning update, the solar-structure ramp, and whether Q2-Q3 FY27 margins recover</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p/>
    <w:p>
      <w:r>
        <w:rPr>
          <w:b/>
          <w:sz w:val="28"/>
        </w:rPr>
        <w:t>🔄 RESEARCH UPDATE - 2026-10-05</w:t>
      </w:r>
    </w:p>
    <w:p>
      <w:r>
        <w:rPr>
          <w:b/>
        </w:rPr>
        <w:t>📊 Key Metrics:</w:t>
      </w:r>
    </w:p>
    <w:p>
      <w:pPr>
        <w:ind w:left="360"/>
      </w:pPr>
      <w:r>
        <w:t xml:space="preserve">  • Company: Bansal Roofing Products Ltd</w:t>
      </w:r>
    </w:p>
    <w:p>
      <w:pPr>
        <w:ind w:left="360"/>
      </w:pPr>
      <w:r>
        <w:t xml:space="preserve">  • Conviction: Not rated</w:t>
      </w:r>
    </w:p>
    <w:p>
      <w:pPr>
        <w:ind w:left="360"/>
      </w:pPr>
      <w:r>
        <w:t xml:space="preserve">  • Thesis: 10x-in-2-3-years</w:t>
      </w:r>
    </w:p>
    <w:p>
      <w:pPr>
        <w:ind w:left="360"/>
      </w:pPr>
      <w:r>
        <w:t xml:space="preserve">  • 4-Box Score: 2.0</w:t>
      </w:r>
    </w:p>
    <w:p>
      <w:pPr>
        <w:ind w:left="360"/>
      </w:pPr>
      <w:r>
        <w:t xml:space="preserve">  • Research Date: 2026-09-08</w:t>
      </w:r>
    </w:p>
    <w:p>
      <w:pPr>
        <w:ind w:left="360"/>
      </w:pPr>
      <w:r>
        <w:t xml:space="preserve">  • Red Flag: None</w:t>
      </w:r>
    </w:p>
    <w:p/>
    <w:p>
      <w:r>
        <w:rPr>
          <w:b/>
        </w:rPr>
        <w:t>📝 Verdict:</w:t>
      </w:r>
    </w:p>
    <w:p>
      <w:pPr>
        <w:ind w:left="360"/>
      </w:pPr>
      <w:r>
        <w:t>High-quality, still-reasonably-priced microcap whose capacity ramp has started delivering - a Medium-conviction 10x-optionality name, capped by commodity economics and recent margin compression</w:t>
      </w:r>
    </w:p>
    <w:p/>
    <w:p>
      <w:r>
        <w:rPr>
          <w:b/>
        </w:rPr>
        <w:t>📈 Bull Case:</w:t>
      </w:r>
    </w:p>
    <w:p>
      <w:pPr>
        <w:ind w:left="360"/>
      </w:pPr>
      <w:r>
        <w:t>The long-promised capacity ramp has begun converting - FY26 revenue +60% to Rs 154 Cr, PAT +90% to Rs 10.5 Cr - while staying near debt-free and self-funded</w:t>
      </w:r>
    </w:p>
    <w:p>
      <w:pPr>
        <w:ind w:left="360"/>
      </w:pPr>
      <w:r>
        <w:t>Rare microcap combination of high ROCE/ROE (~34%/~28%), near-zero debt and a still-reasonable (~18x) multiple</w:t>
      </w:r>
    </w:p>
    <w:p>
      <w:pPr>
        <w:ind w:left="360"/>
      </w:pPr>
      <w:r>
        <w:t>Phase 5 &amp; 6 lift PEB capacity to ~1,200 MT/month by Aug 2026 (path to ~2,000 t/month, ~Rs 200-250 Cr revenue); new solar module mounting structure line adds a second demand vector</w:t>
      </w:r>
    </w:p>
    <w:p>
      <w:pPr>
        <w:ind w:left="360"/>
      </w:pPr>
      <w:r>
        <w:t>PEB / roofing / solar structures all ride a structural infra + warehousing + renewables capex tailwind</w:t>
      </w:r>
    </w:p>
    <w:p>
      <w:pPr>
        <w:ind w:left="360"/>
      </w:pPr>
      <w:r>
        <w:t>Real, disclosed order wins and a maiden/continuing dividend</w:t>
      </w:r>
    </w:p>
    <w:p/>
    <w:p>
      <w:r>
        <w:rPr>
          <w:b/>
        </w:rPr>
        <w:t>📉 Bear Case:</w:t>
      </w:r>
    </w:p>
    <w:p>
      <w:pPr>
        <w:ind w:left="360"/>
      </w:pPr>
      <w:r>
        <w:t>PEB fabrication has weak, steel-linked pricing power; quarterly PAT margin already compressed from ~9% (Q3 FY26) to ~6% (Q1 FY27) and new Gujarat entrants can compress further</w:t>
      </w:r>
    </w:p>
    <w:p>
      <w:pPr>
        <w:ind w:left="360"/>
      </w:pPr>
      <w:r>
        <w:t>Execution-history risk - the company has a past of over-promising and under-delivering (circa 2018)</w:t>
      </w:r>
    </w:p>
    <w:p>
      <w:pPr>
        <w:ind w:left="360"/>
      </w:pPr>
      <w:r>
        <w:t>Thinly traded microcap where the price has historically front-run news; demand is cyclical and capex-linked</w:t>
      </w:r>
    </w:p>
    <w:p>
      <w:pPr>
        <w:ind w:left="360"/>
      </w:pPr>
      <w:r>
        <w:t>On the stated ~Rs 200-250 Cr revenue ceiling the business is a 2-3x compounder, not an obvious 10x, unless solar structures / value-added mix scale well beyond guidance</w:t>
      </w:r>
    </w:p>
    <w:p>
      <w:pPr>
        <w:ind w:left="360"/>
      </w:pPr>
      <w:r>
        <w:t>No fresh community conviction and the thread has been silent ~2 years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2026-09-08T06:56:26.727Z</dcterms:created>
  <dcterms:modified xsi:type="dcterms:W3CDTF">2026-09-08T06:56:26.727Z</dcterms:modified>
</cp:coreProperties>
</file>

<file path=docProps/custom.xml><?xml version="1.0" encoding="utf-8"?>
<Properties xmlns="http://schemas.openxmlformats.org/officeDocument/2006/custom-properties" xmlns:vt="http://schemas.openxmlformats.org/officeDocument/2006/docPropsVTypes"/>
</file>