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Capri Global Capital Ltd</w:t>
      </w:r>
    </w:p>
    <w:p>
      <w:pPr>
        <w:pBdr>
          <w:bottom w:val="single" w:color="CCCCCC" w:sz="6" w:space="8"/>
        </w:pBdr>
        <w:spacing w:after="200"/>
      </w:pPr>
      <w:r>
        <w:rPr>
          <w:i/>
          <w:iCs/>
          <w:color w:val="666666"/>
          <w:sz w:val="22"/>
          <w:szCs w:val="22"/>
        </w:rPr>
        <w:t xml:space="preserve">Diversified NBFC in a genuine, still-accelerating ROE inflection (12.6% -&gt; 16.5% FY26 -&gt; 19.1% in Q1 FY27, guided 19-21% by FY28) on the back of a gold-loan supercycle (+111% YoY, gold-loan branch network to ~1,000). AUM +62% YoY, PAT +102% YoY, FY28 AUM target raised to Rs 65,000 Cr. The multiple has NOT run away (~24x TTM / ~18x forward) but the stock is at an all-time high and an unresolved founder-identity governance question is still open.</w:t>
      </w:r>
    </w:p>
    <w:p>
      <w:pPr>
        <w:pStyle w:val="Heading1"/>
        <w:spacing w:after="120" w:before="280"/>
      </w:pPr>
      <w:r>
        <w:t xml:space="preserve">Business Overview</w:t>
      </w:r>
    </w:p>
    <w:p>
      <w:pPr>
        <w:spacing w:after="120"/>
      </w:pPr>
      <w:r>
        <w:t xml:space="preserve">Diversified NBFC (gold loans, MSME lending, affordable housing finance, construction finance, car loans, insurance distribution) built on what management calls a 'platform-centric, AI-first' lending model — disbursements scaling faster than headcount. Founder/MD Rajesh Sharma has led the business since founding Capri Global (1994/2002 per company sources).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26,074 Cr (Sep 3, 2026); price Rs 271, at the 52wk high of Rs 272 (low Rs 151)</w:t>
            </w:r>
          </w:p>
        </w:tc>
      </w:tr>
      <w:tr>
        <w:tc>
          <w:tcPr>
            <w:tcW w:type="dxa" w:w="3200"/>
            <w:shd w:fill="F2F2F2" w:val="clear"/>
          </w:tcPr>
          <w:p>
            <w:r>
              <w:rPr>
                <w:b/>
                <w:bCs/>
              </w:rPr>
              <w:t xml:space="preserve">Valuation</w:t>
            </w:r>
          </w:p>
        </w:tc>
        <w:tc>
          <w:tcPr>
            <w:tcW w:type="dxa" w:w="5800"/>
          </w:tcPr>
          <w:p>
            <w:r>
              <w:t xml:space="preserve">~24x TTM P/E; ~18x on the Q1 FY27 annualised run-rate - not demanding for the growth/ROE</w:t>
            </w:r>
          </w:p>
        </w:tc>
      </w:tr>
      <w:tr>
        <w:tc>
          <w:tcPr>
            <w:tcW w:type="dxa" w:w="3200"/>
            <w:shd w:fill="F2F2F2" w:val="clear"/>
          </w:tcPr>
          <w:p>
            <w:r>
              <w:rPr>
                <w:b/>
                <w:bCs/>
              </w:rPr>
              <w:t xml:space="preserve">AUM</w:t>
            </w:r>
          </w:p>
        </w:tc>
        <w:tc>
          <w:tcPr>
            <w:tcW w:type="dxa" w:w="5800"/>
          </w:tcPr>
          <w:p>
            <w:r>
              <w:t xml:space="preserve">Rs 40,112 Cr Q1 FY27, +62% YoY, +10% QoQ (FY26 Rs 36,623 Cr, +60%)</w:t>
            </w:r>
          </w:p>
        </w:tc>
      </w:tr>
      <w:tr>
        <w:tc>
          <w:tcPr>
            <w:tcW w:type="dxa" w:w="3200"/>
            <w:shd w:fill="F2F2F2" w:val="clear"/>
          </w:tcPr>
          <w:p>
            <w:r>
              <w:rPr>
                <w:b/>
                <w:bCs/>
              </w:rPr>
              <w:t xml:space="preserve">PAT</w:t>
            </w:r>
          </w:p>
        </w:tc>
        <w:tc>
          <w:tcPr>
            <w:tcW w:type="dxa" w:w="5800"/>
          </w:tcPr>
          <w:p>
            <w:r>
              <w:t xml:space="preserve">Q1 FY27 Rs 353 Cr, +102% YoY; FY26 Rs 948.6 Cr, +98% YoY</w:t>
            </w:r>
          </w:p>
        </w:tc>
      </w:tr>
      <w:tr>
        <w:tc>
          <w:tcPr>
            <w:tcW w:type="dxa" w:w="3200"/>
            <w:shd w:fill="F2F2F2" w:val="clear"/>
          </w:tcPr>
          <w:p>
            <w:r>
              <w:rPr>
                <w:b/>
                <w:bCs/>
              </w:rPr>
              <w:t xml:space="preserve">ROE / ROA</w:t>
            </w:r>
          </w:p>
        </w:tc>
        <w:tc>
          <w:tcPr>
            <w:tcW w:type="dxa" w:w="5800"/>
          </w:tcPr>
          <w:p>
            <w:r>
              <w:t xml:space="preserve">Q1 FY27 ROAE 19.1% / ROAA 4.1% (FY26 16.5% / 3.5%; ~12.6% / 2.8% ~18m earlier). FY28 guide 19-21% ROE / 4.2-4.7% ROA</w:t>
            </w:r>
          </w:p>
        </w:tc>
      </w:tr>
      <w:tr>
        <w:tc>
          <w:tcPr>
            <w:tcW w:type="dxa" w:w="3200"/>
            <w:shd w:fill="F2F2F2" w:val="clear"/>
          </w:tcPr>
          <w:p>
            <w:r>
              <w:rPr>
                <w:b/>
                <w:bCs/>
              </w:rPr>
              <w:t xml:space="preserve">Gold loans</w:t>
            </w:r>
          </w:p>
        </w:tc>
        <w:tc>
          <w:tcPr>
            <w:tcW w:type="dxa" w:w="5800"/>
          </w:tcPr>
          <w:p>
            <w:r>
              <w:t xml:space="preserve">+111% YoY, ~46% of AUM; gold-loan branch network scaling to ~1,000</w:t>
            </w:r>
          </w:p>
        </w:tc>
      </w:tr>
      <w:tr>
        <w:tc>
          <w:tcPr>
            <w:tcW w:type="dxa" w:w="3200"/>
            <w:shd w:fill="F2F2F2" w:val="clear"/>
          </w:tcPr>
          <w:p>
            <w:r>
              <w:rPr>
                <w:b/>
                <w:bCs/>
              </w:rPr>
              <w:t xml:space="preserve">Efficiency</w:t>
            </w:r>
          </w:p>
        </w:tc>
        <w:tc>
          <w:tcPr>
            <w:tcW w:type="dxa" w:w="5800"/>
          </w:tcPr>
          <w:p>
            <w:r>
              <w:t xml:space="preserve">NII +79% YoY, non-interest income +28%, cost-to-income improved to 44.2%</w:t>
            </w:r>
          </w:p>
        </w:tc>
      </w:tr>
      <w:tr>
        <w:tc>
          <w:tcPr>
            <w:tcW w:type="dxa" w:w="3200"/>
            <w:shd w:fill="F2F2F2" w:val="clear"/>
          </w:tcPr>
          <w:p>
            <w:r>
              <w:rPr>
                <w:b/>
                <w:bCs/>
              </w:rPr>
              <w:t xml:space="preserve">Asset quality</w:t>
            </w:r>
          </w:p>
        </w:tc>
        <w:tc>
          <w:tcPr>
            <w:tcW w:type="dxa" w:w="5800"/>
          </w:tcPr>
          <w:p>
            <w:r>
              <w:t xml:space="preserve">GNPA ~0.9% (FY26); construction-finance GNPA 0.3% -&gt; 0.7%, a small watch-item</w:t>
            </w:r>
          </w:p>
        </w:tc>
      </w:tr>
    </w:tbl>
    <w:p>
      <w:pPr>
        <w:spacing w:after="100"/>
      </w:pPr>
    </w:p>
    <w:p>
      <w:pPr>
        <w:spacing w:after="120"/>
      </w:pPr>
      <w:r>
        <w:t xml:space="preserve">The fundamentals are accelerating, not just growing: AUM +62% YoY, PAT +102% YoY, ROE roughly 12.6% -&gt; 19.1% over about 18 months as the gold-loan book scales and operating leverage kicks in (NII +79%, cost-to-income to 44.2%). Management has RAISED the FY28 AUM target to Rs 65,000 Cr with 19-21% ROE / 4.2-4.7% ROA. Construction-finance GNPA ticking up (0.3% -&gt; 0.7%) is a real if still-small watch-item. Two things temper it: (1) the stock sits at an all-time high (Rs 271 vs Rs 272), so there is no price margin of safety even though the multiple (~24x TTM, ~18x forward) is reasonable for a 60%+ grower; (2) a VP-thread question about whether founder/MD Rajesh Sharma is the same individual chargesheeted in the 2010-11 LIC Housing Finance bribery case was never answered on-thread - a common name, no verified link found, treated as unresolved-but-unconfirmed and worth a direct promoter-bio check before sizing.</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Capri Global Q1 FY27 results + slides coverage (investing.com, sahi, scanx, whalesbook, alphastreet transcript) - PAT Rs 353 Cr +102%, AUM Rs 40,112 Cr +62%, ROAE 19.1%, gold loans +111%, FY28 AUM target raised to Rs 65,000 Cr</w:t>
      </w:r>
    </w:p>
    <w:p>
      <w:pPr>
        <w:pStyle w:val="ListParagraph"/>
        <w:numPr>
          <w:ilvl w:val="0"/>
          <w:numId w:val="1"/>
        </w:numPr>
        <w:spacing w:after="60"/>
      </w:pPr>
      <w:r>
        <w:t xml:space="preserve">FY26 results coverage (whalesbook, marketsmojo) - PAT Rs 948.6 Cr +98%, AUM Rs 36,623 Cr +60%, ROAE 16.5%</w:t>
      </w:r>
    </w:p>
    <w:p>
      <w:pPr>
        <w:pStyle w:val="ListParagraph"/>
        <w:numPr>
          <w:ilvl w:val="0"/>
          <w:numId w:val="1"/>
        </w:numPr>
        <w:spacing w:after="60"/>
      </w:pPr>
      <w:r>
        <w:t xml:space="preserve">Price / valuation (icicidirect, kotakneo, screener via search) - price Rs 271, mcap Rs 26,074 Cr, P/E ~24x, 52wk Rs 151-272</w:t>
      </w:r>
    </w:p>
    <w:p>
      <w:pPr>
        <w:pStyle w:val="ListParagraph"/>
        <w:numPr>
          <w:ilvl w:val="0"/>
          <w:numId w:val="1"/>
        </w:numPr>
        <w:spacing w:after="60"/>
      </w:pPr>
      <w:r>
        <w:t xml:space="preserve">Existing VP thread notes (topic 944) + the Jul-2025 founder-identity governance question and the Nov-2024 vague governance comment</w:t>
      </w:r>
    </w:p>
    <w:p>
      <w:pPr>
        <w:pStyle w:val="ListParagraph"/>
        <w:numPr>
          <w:ilvl w:val="0"/>
          <w:numId w:val="1"/>
        </w:numPr>
        <w:spacing w:after="60"/>
      </w:pPr>
      <w:r>
        <w:t xml:space="preserve">Existing bse_notes diligence on the LIC Housing Finance name-match (no verified link, no active order against Capri's promoter)</w:t>
      </w:r>
    </w:p>
    <w:p>
      <w:pPr>
        <w:spacing w:after="120"/>
      </w:pPr>
      <w:r>
        <w:rPr>
          <w:b/>
          <w:bCs/>
          <w:sz w:val="20"/>
          <w:szCs w:val="20"/>
        </w:rPr>
        <w:t xml:space="preserve">Annual-report findings (3-year view):</w:t>
      </w:r>
    </w:p>
    <w:p>
      <w:pPr>
        <w:pStyle w:val="ListParagraph"/>
        <w:numPr>
          <w:ilvl w:val="0"/>
          <w:numId w:val="1"/>
        </w:numPr>
        <w:spacing w:after="60"/>
      </w:pPr>
      <w:r>
        <w:t xml:space="preserve">FY26 PAT Rs 948.6 Cr (+98%), AUM Rs 36,623 Cr (+60%); ROAE 16.5%, ROAA 3.5% - a clear step up from ~12.6% / 2.8% about 18 months earlier.</w:t>
      </w:r>
    </w:p>
    <w:p>
      <w:pPr>
        <w:pStyle w:val="ListParagraph"/>
        <w:numPr>
          <w:ilvl w:val="0"/>
          <w:numId w:val="1"/>
        </w:numPr>
        <w:spacing w:after="60"/>
      </w:pPr>
      <w:r>
        <w:t xml:space="preserve">Gold loans ~46% of AUM and the dominant growth engine (+111% YoY); MSME, affordable housing, construction finance, car loans and insurance distribution round out a diversified book.</w:t>
      </w:r>
    </w:p>
    <w:p>
      <w:pPr>
        <w:pStyle w:val="ListParagraph"/>
        <w:numPr>
          <w:ilvl w:val="0"/>
          <w:numId w:val="1"/>
        </w:numPr>
        <w:spacing w:after="60"/>
      </w:pPr>
      <w:r>
        <w:t xml:space="preserve">Operating leverage is real: disbursements far outpacing headcount; cost-to-income improved to 44.2% in Q1 FY27.</w:t>
      </w:r>
    </w:p>
    <w:p>
      <w:pPr>
        <w:pStyle w:val="ListParagraph"/>
        <w:numPr>
          <w:ilvl w:val="0"/>
          <w:numId w:val="1"/>
        </w:numPr>
        <w:spacing w:after="60"/>
      </w:pPr>
      <w:r>
        <w:t xml:space="preserve">Asset quality strong overall (GNPA ~0.9%) but construction-finance GNPA rose 0.3% -&gt; 0.7% - a segment with a history of lumpiness for this company.</w:t>
      </w:r>
    </w:p>
    <w:p>
      <w:pPr>
        <w:pStyle w:val="ListParagraph"/>
        <w:numPr>
          <w:ilvl w:val="0"/>
          <w:numId w:val="1"/>
        </w:numPr>
        <w:spacing w:after="60"/>
      </w:pPr>
      <w:r>
        <w:t xml:space="preserve">CAR ~30%+ - ample capital, no near-term dilution pressure.</w:t>
      </w:r>
    </w:p>
    <w:p>
      <w:pPr>
        <w:pStyle w:val="ListParagraph"/>
        <w:numPr>
          <w:ilvl w:val="0"/>
          <w:numId w:val="1"/>
        </w:numPr>
        <w:spacing w:after="60"/>
      </w:pPr>
      <w:r>
        <w:t xml:space="preserve">Governance: unresolved (unconfirmed) VP-thread question on founder identity vs the 2010-11 LIC Housing Finance case; no active SEBI/fraud order located against Capri Global's promoter - does not meet the EXCLUDE bar.</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FY25/early FY26: ROE in the low-to-mid teens, AUM growth already strong.</w:t>
      </w:r>
    </w:p>
    <w:p>
      <w:pPr>
        <w:pStyle w:val="ListParagraph"/>
        <w:numPr>
          <w:ilvl w:val="0"/>
          <w:numId w:val="1"/>
        </w:numPr>
        <w:spacing w:after="60"/>
      </w:pPr>
      <w:r>
        <w:t xml:space="preserve">Q3 FY26: AUM +47% YoY, ROA ~4%, ROE ~15%, GNPA ~1.2%.</w:t>
      </w:r>
    </w:p>
    <w:p>
      <w:pPr>
        <w:pStyle w:val="ListParagraph"/>
        <w:numPr>
          <w:ilvl w:val="0"/>
          <w:numId w:val="1"/>
        </w:numPr>
        <w:spacing w:after="60"/>
      </w:pPr>
      <w:r>
        <w:t xml:space="preserve">FY26 full year: AUM +60%, PAT +98%, ROAE 16.5%.</w:t>
      </w:r>
    </w:p>
    <w:p>
      <w:pPr>
        <w:pStyle w:val="ListParagraph"/>
        <w:numPr>
          <w:ilvl w:val="0"/>
          <w:numId w:val="1"/>
        </w:numPr>
        <w:spacing w:after="60"/>
      </w:pPr>
      <w:r>
        <w:t xml:space="preserve">Q1 FY27: AUM +62% YoY / +10% QoQ, PAT +102%, ROAE 19.1%, ROAA 4.1%, NII +79%, cost-to-income 44.2%, gold loans +111%. Acceleration intact.</w:t>
      </w:r>
    </w:p>
    <w:p>
      <w:pPr>
        <w:spacing w:after="120"/>
      </w:pPr>
      <w:r>
        <w:rPr>
          <w:b/>
          <w:bCs/>
          <w:sz w:val="20"/>
          <w:szCs w:val="20"/>
        </w:rPr>
        <w:t xml:space="preserve">Exchange announcements (last 6 months):</w:t>
      </w:r>
    </w:p>
    <w:p>
      <w:pPr>
        <w:pStyle w:val="ListParagraph"/>
        <w:numPr>
          <w:ilvl w:val="0"/>
          <w:numId w:val="1"/>
        </w:numPr>
        <w:spacing w:after="60"/>
      </w:pPr>
      <w:r>
        <w:t xml:space="preserve">FY28 AUM target raised to Rs 65,000 Cr (from ~Rs 60,000 Cr implied earlier), ROE 19-21%, ROA 4.2-4.7%.</w:t>
      </w:r>
    </w:p>
    <w:p>
      <w:pPr>
        <w:pStyle w:val="ListParagraph"/>
        <w:numPr>
          <w:ilvl w:val="0"/>
          <w:numId w:val="1"/>
        </w:numPr>
        <w:spacing w:after="60"/>
      </w:pPr>
      <w:r>
        <w:t xml:space="preserve">Gold-loan branch network scaling toward ~1,000 branches.</w:t>
      </w:r>
    </w:p>
    <w:p>
      <w:pPr>
        <w:pStyle w:val="ListParagraph"/>
        <w:numPr>
          <w:ilvl w:val="0"/>
          <w:numId w:val="1"/>
        </w:numPr>
        <w:spacing w:after="60"/>
      </w:pPr>
      <w:r>
        <w:t xml:space="preserve">Aug 2026 investor presentation filed with Q1 FY27 results.</w:t>
      </w:r>
    </w:p>
    <w:p>
      <w:pPr>
        <w:pStyle w:val="ListParagraph"/>
        <w:numPr>
          <w:ilvl w:val="0"/>
          <w:numId w:val="1"/>
        </w:numPr>
        <w:spacing w:after="60"/>
      </w:pPr>
      <w:r>
        <w:t xml:space="preserve">Quant Mutual Fund had earlier taken a ~6% stake (2025).</w:t>
      </w:r>
    </w:p>
    <w:p>
      <w:pPr>
        <w:pStyle w:val="ListParagraph"/>
        <w:numPr>
          <w:ilvl w:val="0"/>
          <w:numId w:val="1"/>
        </w:numPr>
        <w:spacing w:after="60"/>
      </w:pPr>
      <w:r>
        <w:t xml:space="preserve">No SEBI/regulatory action; no auditor issues.</w:t>
      </w:r>
    </w:p>
    <w:p>
      <w:pPr>
        <w:spacing w:after="120"/>
      </w:pPr>
      <w:r>
        <w:rPr>
          <w:b/>
          <w:bCs/>
          <w:sz w:val="20"/>
          <w:szCs w:val="20"/>
        </w:rPr>
        <w:t xml:space="preserve">Key new facts vs. the prior write-up:</w:t>
      </w:r>
    </w:p>
    <w:p>
      <w:pPr>
        <w:pStyle w:val="ListParagraph"/>
        <w:numPr>
          <w:ilvl w:val="0"/>
          <w:numId w:val="1"/>
        </w:numPr>
        <w:spacing w:after="60"/>
      </w:pPr>
      <w:r>
        <w:t xml:space="preserve">The multiple has de-rated relative to the growth: ~24x TTM / ~18x forward on a book growing 60%+ with 19% ROE - the prior 'the re-rating is done, pay up' concern is materially weaker now.</w:t>
      </w:r>
    </w:p>
    <w:p>
      <w:pPr>
        <w:pStyle w:val="ListParagraph"/>
        <w:numPr>
          <w:ilvl w:val="0"/>
          <w:numId w:val="1"/>
        </w:numPr>
        <w:spacing w:after="60"/>
      </w:pPr>
      <w:r>
        <w:t xml:space="preserve">ROE inflection is still climbing (16.5% FY26 -&gt; 19.1% Q1 FY27), not plateauing.</w:t>
      </w:r>
    </w:p>
    <w:p>
      <w:pPr>
        <w:pStyle w:val="ListParagraph"/>
        <w:numPr>
          <w:ilvl w:val="0"/>
          <w:numId w:val="1"/>
        </w:numPr>
        <w:spacing w:after="60"/>
      </w:pPr>
      <w:r>
        <w:t xml:space="preserve">Management raised, not merely reaffirmed, the FY28 AUM target - a credibility signal given they have been beating.</w:t>
      </w:r>
    </w:p>
    <w:p>
      <w:pPr>
        <w:pStyle w:val="ListParagraph"/>
        <w:numPr>
          <w:ilvl w:val="0"/>
          <w:numId w:val="1"/>
        </w:numPr>
        <w:spacing w:after="60"/>
      </w:pPr>
      <w:r>
        <w:t xml:space="preserve">Gold-loan concentration keeps rising (~46% of AUM) - the growth engine is increasingly a single, gold-price-sensitive product.</w:t>
      </w:r>
    </w:p>
    <w:p>
      <w:pPr>
        <w:spacing w:after="120"/>
      </w:pPr>
      <w:r>
        <w:rPr>
          <w:b/>
          <w:bCs/>
          <w:sz w:val="20"/>
          <w:szCs w:val="20"/>
        </w:rPr>
        <w:t xml:space="preserve">Open questions / what to watch:</w:t>
      </w:r>
    </w:p>
    <w:p>
      <w:pPr>
        <w:pStyle w:val="ListParagraph"/>
        <w:numPr>
          <w:ilvl w:val="0"/>
          <w:numId w:val="1"/>
        </w:numPr>
        <w:spacing w:after="60"/>
      </w:pPr>
      <w:r>
        <w:t xml:space="preserve">Is founder/MD Rajesh Sharma the same individual as the 'Money Matters Financial Services' CMD chargesheeted in the 2010-11 LIC Housing Finance case? Never answered on-thread; needs a direct promoter-bio verification before sizing.</w:t>
      </w:r>
    </w:p>
    <w:p>
      <w:pPr>
        <w:pStyle w:val="ListParagraph"/>
        <w:numPr>
          <w:ilvl w:val="0"/>
          <w:numId w:val="1"/>
        </w:numPr>
        <w:spacing w:after="60"/>
      </w:pPr>
      <w:r>
        <w:t xml:space="preserve">Construction-finance GNPA (0.3% -&gt; 0.7%) - does it stabilise or is it the start of a segment problem?</w:t>
      </w:r>
    </w:p>
    <w:p>
      <w:pPr>
        <w:pStyle w:val="ListParagraph"/>
        <w:numPr>
          <w:ilvl w:val="0"/>
          <w:numId w:val="1"/>
        </w:numPr>
        <w:spacing w:after="60"/>
      </w:pPr>
      <w:r>
        <w:t xml:space="preserve">How much of the elevated ROA (~4%+) is gold-price-cyclical and would compress if gold corrects?</w:t>
      </w:r>
    </w:p>
    <w:p>
      <w:pPr>
        <w:pStyle w:val="ListParagraph"/>
        <w:numPr>
          <w:ilvl w:val="0"/>
          <w:numId w:val="1"/>
        </w:numPr>
        <w:spacing w:after="60"/>
      </w:pPr>
      <w:r>
        <w:t xml:space="preserve">Funding cost trajectory as the book scales toward Rs 65,000 Cr.</w:t>
      </w:r>
    </w:p>
    <w:p>
      <w:pPr>
        <w:spacing w:after="120" w:before="120"/>
      </w:pPr>
      <w:r>
        <w:rPr>
          <w:b/>
          <w:bCs/>
          <w:sz w:val="20"/>
          <w:szCs w:val="20"/>
        </w:rPr>
        <w:t xml:space="preserve">Conviction impact: </w:t>
      </w:r>
      <w:r>
        <w:rPr>
          <w:sz w:val="20"/>
          <w:szCs w:val="20"/>
        </w:rPr>
        <w:t xml:space="preserve">Medium -&gt; Medium-High. Four-plus quarters of evidenced acceleration (AUM +62%, PAT +102%, ROE still climbing to 19.1%), a raised FY28 target, and a multiple (~24x TTM / ~18x forward) that is reasonable for the growth - enough to lift conviction one notch. Held below High by the unresolved founder-identity governance question and rising gold-loan concentration; the governance point should be independently cleared before any material sizing.</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ROE 19-21% / ROA 4.2-4.7% by FY28</w:t>
            </w:r>
          </w:p>
        </w:tc>
        <w:tc>
          <w:tcPr>
            <w:tcW w:type="dxa" w:w="2400"/>
          </w:tcPr>
          <w:p>
            <w:r>
              <w:rPr>
                <w:b w:val="false"/>
                <w:bCs w:val="false"/>
                <w:sz w:val="18"/>
                <w:szCs w:val="18"/>
              </w:rPr>
              <w:t xml:space="preserve">vs Q1 FY27 ROAE 19.1% / ROAA 4.1%</w:t>
            </w:r>
          </w:p>
        </w:tc>
        <w:tc>
          <w:tcPr>
            <w:tcW w:type="dxa" w:w="900"/>
          </w:tcPr>
          <w:p>
            <w:r>
              <w:rPr>
                <w:b w:val="false"/>
                <w:bCs w:val="false"/>
                <w:sz w:val="18"/>
                <w:szCs w:val="18"/>
              </w:rPr>
              <w:t xml:space="preserve">FY28</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Consolidated AUM to Rs 65,000 Cr by FY28</w:t>
            </w:r>
          </w:p>
        </w:tc>
        <w:tc>
          <w:tcPr>
            <w:tcW w:type="dxa" w:w="2400"/>
          </w:tcPr>
          <w:p>
            <w:r>
              <w:rPr>
                <w:b w:val="false"/>
                <w:bCs w:val="false"/>
                <w:sz w:val="18"/>
                <w:szCs w:val="18"/>
              </w:rPr>
              <w:t xml:space="preserve">raised target; from Rs 40,112 Cr Q1 FY27</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Gold-loan branch network to ~1,000 branches</w:t>
            </w:r>
          </w:p>
        </w:tc>
        <w:tc>
          <w:tcPr>
            <w:tcW w:type="dxa" w:w="2400"/>
          </w:tcPr>
          <w:p>
            <w:r>
              <w:rPr>
                <w:b w:val="false"/>
                <w:bCs w:val="false"/>
                <w:sz w:val="18"/>
                <w:szCs w:val="18"/>
              </w:rPr>
              <w:t xml:space="preserve">driving the +111% YoY gold-loan growth</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Fund growth without near-term dilution</w:t>
            </w:r>
          </w:p>
        </w:tc>
        <w:tc>
          <w:tcPr>
            <w:tcW w:type="dxa" w:w="2400"/>
          </w:tcPr>
          <w:p>
            <w:r>
              <w:rPr>
                <w:b w:val="false"/>
                <w:bCs w:val="false"/>
                <w:sz w:val="18"/>
                <w:szCs w:val="18"/>
              </w:rPr>
              <w:t xml:space="preserve">CAR ~30%+</w:t>
            </w:r>
          </w:p>
        </w:tc>
        <w:tc>
          <w:tcPr>
            <w:tcW w:type="dxa" w:w="900"/>
          </w:tcPr>
          <w:p>
            <w:r>
              <w:rPr>
                <w:b w:val="false"/>
                <w:bCs w:val="false"/>
                <w:sz w:val="18"/>
                <w:szCs w:val="18"/>
              </w:rPr>
              <w:t xml:space="preserve">12M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gold-price supercycle + credit penetration</w:t>
      </w:r>
      <w:r>
        <w:rPr>
          <w:color w:val="666666"/>
          <w:sz w:val="20"/>
          <w:szCs w:val="20"/>
        </w:rPr>
        <w:t xml:space="preserve"> → </w:t>
      </w:r>
      <w:r>
        <w:rPr>
          <w:b w:val="false"/>
          <w:bCs w:val="false"/>
          <w:sz w:val="20"/>
          <w:szCs w:val="20"/>
        </w:rPr>
        <w:t xml:space="preserve">gold-loan branch rollout (~1,000)</w:t>
      </w:r>
      <w:r>
        <w:rPr>
          <w:color w:val="666666"/>
          <w:sz w:val="20"/>
          <w:szCs w:val="20"/>
        </w:rPr>
        <w:t xml:space="preserve"> → </w:t>
      </w:r>
      <w:r>
        <w:rPr>
          <w:b w:val="false"/>
          <w:bCs w:val="false"/>
          <w:sz w:val="20"/>
          <w:szCs w:val="20"/>
        </w:rPr>
        <w:t xml:space="preserve">AUM growth +62% YoY</w:t>
      </w:r>
      <w:r>
        <w:rPr>
          <w:color w:val="666666"/>
          <w:sz w:val="20"/>
          <w:szCs w:val="20"/>
        </w:rPr>
        <w:t xml:space="preserve"> → </w:t>
      </w:r>
      <w:r>
        <w:rPr>
          <w:b w:val="false"/>
          <w:bCs w:val="false"/>
          <w:sz w:val="20"/>
          <w:szCs w:val="20"/>
        </w:rPr>
        <w:t xml:space="preserve">NII +79% + operating leverage (cost-to-income 44.2%)</w:t>
      </w:r>
      <w:r>
        <w:rPr>
          <w:color w:val="666666"/>
          <w:sz w:val="20"/>
          <w:szCs w:val="20"/>
        </w:rPr>
        <w:t xml:space="preserve"> → </w:t>
      </w:r>
      <w:r>
        <w:rPr>
          <w:b w:val="false"/>
          <w:bCs w:val="false"/>
          <w:sz w:val="20"/>
          <w:szCs w:val="20"/>
        </w:rPr>
        <w:t xml:space="preserve">ROA 4%+ / ROE 19-21%</w:t>
      </w:r>
      <w:r>
        <w:rPr>
          <w:color w:val="666666"/>
          <w:sz w:val="20"/>
          <w:szCs w:val="20"/>
        </w:rPr>
        <w:t xml:space="preserve"> → </w:t>
      </w:r>
      <w:r>
        <w:rPr>
          <w:b w:val="false"/>
          <w:bCs w:val="false"/>
          <w:sz w:val="20"/>
          <w:szCs w:val="20"/>
        </w:rPr>
        <w:t xml:space="preserve">PAT +100%</w:t>
      </w:r>
    </w:p>
    <w:p>
      <w:pPr>
        <w:spacing w:after="120"/>
      </w:pPr>
      <w:r>
        <w:rPr>
          <w:color w:val="666666"/>
          <w:sz w:val="18"/>
          <w:szCs w:val="18"/>
        </w:rPr>
        <w:t xml:space="preserve">Bottleneck link: gold-price environment sustaining gold-loan demand and spreads.</w:t>
      </w:r>
    </w:p>
    <w:p>
      <w:pPr>
        <w:spacing w:after="120"/>
      </w:pPr>
      <w:r>
        <w:rPr>
          <w:color w:val="666666"/>
          <w:sz w:val="18"/>
          <w:szCs w:val="18"/>
        </w:rPr>
        <w:t xml:space="preserve">Operating leverage: yes - NII and PAT growing far faster than opex; cost-to-income falling</w:t>
      </w:r>
    </w:p>
    <w:p>
      <w:pPr>
        <w:spacing w:after="120"/>
      </w:pPr>
      <w:r>
        <w:rPr>
          <w:color w:val="666666"/>
          <w:sz w:val="18"/>
          <w:szCs w:val="18"/>
        </w:rPr>
        <w:t xml:space="preserve">Evidenced: gold-loan branch rollout (~1,000); AUM growth +62% YoY; NII +79% + operating leverage (cost-to-income 44.2%); ROA 4%+ / ROE 19-21%; PAT +100%. Still assumed: gold-price supercycle + credit penetration.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Rs 271 (Sep 3, 2026), at the 52wk/all-time high · ~24x TTM; ~18x on Q1 FY27 annualisedx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~24x TTM on a ~25x quality-NBFC exit implies the market expects ~25-30% EPS CAGR FY26-28 - well below the ~100% Capri just printed, so the multiple is NOT pricing the current run-rate as durable</w:t>
            </w:r>
          </w:p>
        </w:tc>
      </w:tr>
      <w:tr>
        <w:tc>
          <w:tcPr>
            <w:tcW w:type="dxa" w:w="3200"/>
            <w:shd w:fill="F2F2F2" w:val="clear"/>
          </w:tcPr>
          <w:p>
            <w:r>
              <w:rPr>
                <w:b/>
                <w:bCs/>
              </w:rPr>
              <w:t xml:space="preserve">Our FY27</w:t>
            </w:r>
          </w:p>
        </w:tc>
        <w:tc>
          <w:tcPr>
            <w:tcW w:type="dxa" w:w="5800"/>
          </w:tcPr>
          <w:p>
            <w:r>
              <w:t xml:space="preserve">AUM +45-55%, PAT Rs 1,300-1,500 Cr, ROAE ~18-20%</w:t>
            </w:r>
          </w:p>
        </w:tc>
      </w:tr>
      <w:tr>
        <w:tc>
          <w:tcPr>
            <w:tcW w:type="dxa" w:w="3200"/>
            <w:shd w:fill="F2F2F2" w:val="clear"/>
          </w:tcPr>
          <w:p>
            <w:r>
              <w:rPr>
                <w:b/>
                <w:bCs/>
              </w:rPr>
              <w:t xml:space="preserve">Our FY28</w:t>
            </w:r>
          </w:p>
        </w:tc>
        <w:tc>
          <w:tcPr>
            <w:tcW w:type="dxa" w:w="5800"/>
          </w:tcPr>
          <w:p>
            <w:r>
              <w:t xml:space="preserve">AUM toward Rs 60,000-65,000 Cr, PAT Rs 1,800-2,200 Cr if ROE holds ~19-21% and gold-price environment stays supportive</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market prices a sharp deceleration from the current ~100% growth; if the gold-loan cycle and ROE guidance hold, FY28 earnings could beat the implied path - but the durability of the gold-price-driven ROA is the swing factor</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Two more quarters holding ROAE ~19-21% with AUM growth &gt;45% and construction-finance GNPA stabilising - confirming the ROE inflection is structural, not a gold-price spike</w:t>
      </w:r>
      <w:r>
        <w:rPr>
          <w:color w:val="666666"/>
          <w:sz w:val="18"/>
          <w:szCs w:val="18"/>
        </w:rPr>
        <w:t xml:space="preserve"> (window ~9M from 2026-09-08;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gold financiers / retail credit penetration (gold price at all-time highs -&gt; PAT)</w:t>
            </w:r>
          </w:p>
        </w:tc>
      </w:tr>
      <w:tr>
        <w:tc>
          <w:tcPr>
            <w:tcW w:type="dxa" w:w="3200"/>
            <w:shd w:fill="F2F2F2" w:val="clear"/>
          </w:tcPr>
          <w:p>
            <w:r>
              <w:rPr>
                <w:b/>
                <w:bCs/>
              </w:rPr>
              <w:t xml:space="preserve">This company's position</w:t>
            </w:r>
          </w:p>
        </w:tc>
        <w:tc>
          <w:tcPr>
            <w:tcW w:type="dxa" w:w="5800"/>
          </w:tcPr>
          <w:p>
            <w:r>
              <w:t xml:space="preserve">diversified NBFC - gold loans (~46% of AUM), MSME, affordable housing, construction finance, car loans, insurance distribution - on a 'platform-centric, AI-first' operating model</w:t>
            </w:r>
          </w:p>
        </w:tc>
      </w:tr>
      <w:tr>
        <w:tc>
          <w:tcPr>
            <w:tcW w:type="dxa" w:w="3200"/>
            <w:shd w:fill="F2F2F2" w:val="clear"/>
          </w:tcPr>
          <w:p>
            <w:r>
              <w:rPr>
                <w:b/>
                <w:bCs/>
              </w:rPr>
              <w:t xml:space="preserve">Bottleneck node (pricing power)</w:t>
            </w:r>
          </w:p>
        </w:tc>
        <w:tc>
          <w:tcPr>
            <w:tcW w:type="dxa" w:w="5800"/>
          </w:tcPr>
          <w:p>
            <w:r>
              <w:t xml:space="preserve">gold-price cycle and branch productivity ramp, not capital (CAR ~30%+)</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Muthoot Finance, Manappuram Finance, IIFL Finance, Aavas Financiers</w:t>
            </w:r>
          </w:p>
        </w:tc>
      </w:tr>
    </w:tbl>
    <w:p>
      <w:pPr>
        <w:spacing w:after="120"/>
      </w:pPr>
      <w:r>
        <w:rPr>
          <w:color w:val="666666"/>
          <w:sz w:val="18"/>
          <w:szCs w:val="18"/>
        </w:rPr>
        <w:t xml:space="preserve">Gold-loan segment is competitive (Muthoot/Manappuram/IIFL) and Capri is a fast-follower gaining share via branch rollout; the 'moat' is execution/operating-leverage, not a structural cost or switching-cost edge.</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gold-loan volume + yield in a high-gold-price environment (cyclical); operating leverage on the platform (structural); diversified NBFC spread.</w:t>
      </w:r>
    </w:p>
    <w:p>
      <w:pPr>
        <w:spacing w:after="120"/>
      </w:pPr>
      <w:r>
        <w:rPr>
          <w:color w:val="666666"/>
          <w:sz w:val="18"/>
          <w:szCs w:val="18"/>
        </w:rPr>
        <w:t xml:space="preserve">ROAA ~4.1% is high for a diversified NBFC and is partly powered by the current gold-price supercycle boosting gold-loan volumes and spreads; a defensible through-cycle ROA for this mix is likely closer to 3-3.5%. Management guides 4.2-4.7% but that assumes the gold environment holds.</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AUM YoY: ~+47% (Q3 FY26) -&gt; +60% (FY26) -&gt; +62% (Q1 FY27). PAT YoY: +98% (FY26) -&gt; +102% (Q1 FY27). ROAE: ~12.6% -&gt; 15% -&gt; 16.5% -&gt; 19.1%. Still climbing on all three.</w:t>
      </w:r>
    </w:p>
    <w:p>
      <w:pPr>
        <w:spacing w:after="120"/>
      </w:pPr>
      <w:r>
        <w:rPr>
          <w:color w:val="666666"/>
          <w:sz w:val="18"/>
          <w:szCs w:val="18"/>
        </w:rPr>
        <w:t xml:space="preserve">Reverse P/E: ~24x TTM only needs ~25-30% EPS CAGR to justify vs a 25x exit; Capri is printing ~100% - the multiple is pricing a steep slowdown, which is the source of the upside if the gold cycle holds.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Reinvesting at rising incremental ROE (ROAE 12.6% -&gt; 19.1% over ~18m); all growth in lending adjacencies + insurance distribution, no unrelated diversification; ample capital (CAR ~30%+), no opportunistic dilution.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19.1% (improving)</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5 years (consistency_score 40)</w:t>
      </w:r>
    </w:p>
    <w:p>
      <w:pPr>
        <w:spacing w:after="120"/>
      </w:pPr>
      <w:r>
        <w:rPr>
          <w:color w:val="666666"/>
          <w:sz w:val="18"/>
          <w:szCs w:val="18"/>
        </w:rPr>
        <w:t xml:space="preserve">Revenue/AUM grew &gt;10% every year, but ROE was sub-15% (low-to-mid teens) through the pre-inflection years FY23-FY25; the 15% ROE bar was only cleared in FY26 (ROAE 16.5%) and Q1 FY27 (19.1%). ~2 of 5 verifiable years cleared both bars - the consistency profile is early, not established.</w:t>
      </w:r>
    </w:p>
    <w:p>
      <w:pPr>
        <w:pStyle w:val="Heading1"/>
        <w:spacing w:after="120" w:before="280"/>
      </w:pPr>
      <w:r>
        <w:t xml:space="preserve">Technical Read (Weekly / Monthly MACD + Bollinger Bands, or RSI/CCI/Williams %R proxy)</w:t>
      </w:r>
    </w:p>
    <w:p>
      <w:pPr>
        <w:spacing w:after="120"/>
      </w:pPr>
      <w:r>
        <w:t xml:space="preserve">Near its 52-week/all-time high (Rs 271 vs. Rs 272 high) as of early Sep 2026, after a strong multi-month uptrend.</w:t>
      </w:r>
    </w:p>
    <w:p>
      <w:pPr>
        <w:pStyle w:val="Heading1"/>
        <w:spacing w:after="120" w:before="280"/>
      </w:pPr>
      <w:r>
        <w:t xml:space="preserve">ValuePickr Community Signal</w:t>
      </w:r>
    </w:p>
    <w:p>
      <w:pPr>
        <w:spacing w:after="120"/>
      </w:pPr>
      <w:r>
        <w:t xml:space="preserve">VP thread (topic 944, 67-70 posts, last active May 2026) shows the community tracking the acceleration in real time: a May 2025 post noted QoQ sales +17%/profit +39%, YoY sales +48%/profit +115%; a Jun 2025 post flagged Quant Mutual Fund taking a ~6% stake; an Oct 2025 post (Umang_Adatia) detailed NII +64% YoY, non-interest income +97% YoY; a Jan/Feb 2026 post (GurpreetSingh) gave a full Q3 FY26 breakdown (AUM +47% YoY, ROA 4%, ROE 15%, GNPA 1.2%) plus color on the AI-first platform strategy; and the most recent post (firefueled, May 2026) summarized a 'very strong FY26' with ROAE 16.5%/ROAA 3.5% and gold loans hitting 46% of AUM. One governance-adjacent thread (Nov 2024, shyamutty, vague 'corporate governance... stock in downfall despite good results,' no specifics given) and one specific allegation (Jul 2025, karthikaithal) asking if founder Rajesh Sharma is the same person chargesheeted in the 2010-11 LIC Housing Finance bribery scandal — see bse_notes for the diligence check on this.</w:t>
      </w:r>
    </w:p>
    <w:p>
      <w:pPr>
        <w:spacing w:after="120"/>
      </w:pPr>
      <w:r>
        <w:rPr>
          <w:b/>
          <w:bCs/>
          <w:sz w:val="20"/>
          <w:szCs w:val="20"/>
        </w:rPr>
        <w:t xml:space="preserve">High-conviction call from a top contributor: </w:t>
      </w:r>
      <w:r>
        <w:rPr>
          <w:sz w:val="20"/>
          <w:szCs w:val="20"/>
        </w:rPr>
        <w:t xml:space="preserve">Strongly and increasingly bullish through 2025-26 as the numbers accelerated; the one specific governance question raised (LIC-scam name-match) was never answered on-thread by anyone with direct knowledge.</w:t>
      </w:r>
    </w:p>
    <w:p>
      <w:pPr>
        <w:pStyle w:val="Heading1"/>
        <w:spacing w:after="120" w:before="280"/>
      </w:pPr>
      <w:r>
        <w:t xml:space="preserve">BSE Corporate Actions / Other Red Flags</w:t>
      </w:r>
    </w:p>
    <w:p>
      <w:pPr>
        <w:spacing w:after="120"/>
      </w:pPr>
      <w:r>
        <w:t xml:space="preserve">Diligence check performed on the Jul-2025 forum question: the 2010-11 LIC Housing Finance bribery case (CBI chargesheet) involved Rajesh Sharma, CMD of 'Money Matters Financial Services.' Capri Global's founder/MD is also named Rajesh Sharma, but company/bio sources describe him as founder of Capri Global since 1994/2002, with no located source confirming he is the same individual as the Money Matters CMD — a common name, no verified link found. Treated as an unresolved-but-unconfirmed concern, not a confirmed red flag; does not meet the EXCLUDE bar (no active SEBI/fraud order located against Capri Global's promoter). The separate vague 'corporate governance' comment (Nov 2024) carried no specifics and could not be independently substantiated. No red_flag_tier set, but this is worth a direct look (company disclosures / promoter bio verification) before sizing any position.</w:t>
      </w:r>
    </w:p>
    <w:p>
      <w:pPr>
        <w:pStyle w:val="Heading1"/>
        <w:spacing w:after="120" w:before="280"/>
      </w:pPr>
      <w:r>
        <w:t xml:space="preserve">Bull Case</w:t>
      </w:r>
    </w:p>
    <w:p>
      <w:pPr>
        <w:pStyle w:val="ListParagraph"/>
        <w:numPr>
          <w:ilvl w:val="0"/>
          <w:numId w:val="1"/>
        </w:numPr>
        <w:spacing w:after="60"/>
      </w:pPr>
      <w:r>
        <w:t xml:space="preserve">AUM +62% YoY and PAT +102% YoY with ROE inflecting from ~12.6% to a guided 19-21% by FY28 — a genuine, evidenced acceleration, not a promise</w:t>
      </w:r>
    </w:p>
    <w:p>
      <w:pPr>
        <w:pStyle w:val="ListParagraph"/>
        <w:numPr>
          <w:ilvl w:val="0"/>
          <w:numId w:val="1"/>
        </w:numPr>
        <w:spacing w:after="60"/>
      </w:pPr>
      <w:r>
        <w:t xml:space="preserve">Gold-loan supercycle exposure (46% of AUM, +111% YoY) ties directly into the live priority-2 'gold financiers' theme (gold price at all-time highs -&gt; PAT)</w:t>
      </w:r>
    </w:p>
    <w:p>
      <w:pPr>
        <w:pStyle w:val="ListParagraph"/>
        <w:numPr>
          <w:ilvl w:val="0"/>
          <w:numId w:val="1"/>
        </w:numPr>
        <w:spacing w:after="60"/>
      </w:pPr>
      <w:r>
        <w:t xml:space="preserve">AI-first, platform-centric lending model showing real operating leverage (disbursements +87% YoY vs. headcount +19% YoY)</w:t>
      </w:r>
    </w:p>
    <w:p>
      <w:pPr>
        <w:pStyle w:val="ListParagraph"/>
        <w:numPr>
          <w:ilvl w:val="0"/>
          <w:numId w:val="1"/>
        </w:numPr>
        <w:spacing w:after="60"/>
      </w:pPr>
      <w:r>
        <w:t xml:space="preserve">Ample capital (CAR ~30%+) to keep funding the growth without near-term dilution pressure</w:t>
      </w:r>
    </w:p>
    <w:p>
      <w:pPr>
        <w:pStyle w:val="Heading1"/>
        <w:spacing w:after="120" w:before="280"/>
      </w:pPr>
      <w:r>
        <w:t xml:space="preserve">Bear Case / Key Risks</w:t>
      </w:r>
    </w:p>
    <w:p>
      <w:pPr>
        <w:pStyle w:val="ListParagraph"/>
        <w:numPr>
          <w:ilvl w:val="0"/>
          <w:numId w:val="1"/>
        </w:numPr>
        <w:spacing w:after="60"/>
      </w:pPr>
      <w:r>
        <w:t xml:space="preserve">Stock already up ~70% in 6 months to near its all-time high — much of the acceleration story is priced in, leaving less margin of safety for new capital</w:t>
      </w:r>
    </w:p>
    <w:p>
      <w:pPr>
        <w:pStyle w:val="ListParagraph"/>
        <w:numPr>
          <w:ilvl w:val="0"/>
          <w:numId w:val="1"/>
        </w:numPr>
        <w:spacing w:after="60"/>
      </w:pPr>
      <w:r>
        <w:t xml:space="preserve">Construction-finance GNPA rising (0.3% -&gt; 0.7%), a segment with a history of lumpiness for this company specifically</w:t>
      </w:r>
    </w:p>
    <w:p>
      <w:pPr>
        <w:pStyle w:val="ListParagraph"/>
        <w:numPr>
          <w:ilvl w:val="0"/>
          <w:numId w:val="1"/>
        </w:numPr>
        <w:spacing w:after="60"/>
      </w:pPr>
      <w:r>
        <w:t xml:space="preserve">An unresolved (if unconfirmed) governance question about the founder's identity/history was raised on the VP thread and never answered</w:t>
      </w:r>
    </w:p>
    <w:p>
      <w:pPr>
        <w:pStyle w:val="ListParagraph"/>
        <w:numPr>
          <w:ilvl w:val="0"/>
          <w:numId w:val="1"/>
        </w:numPr>
        <w:spacing w:after="60"/>
      </w:pPr>
      <w:r>
        <w:t xml:space="preserve">Diversified NBFC model (gold + MSME + housing + construction + car loans) is complex to underwrite from outside; gold-loan concentration risk rises as that segment becomes the dominant growth driver</w:t>
      </w:r>
    </w:p>
    <w:p>
      <w:pPr>
        <w:pStyle w:val="Heading1"/>
        <w:spacing w:after="120" w:before="280"/>
      </w:pPr>
      <w:r>
        <w:t xml:space="preserve">Market-Cap Tier (informational — not a gate in this project)</w:t>
      </w:r>
    </w:p>
    <w:p>
      <w:pPr>
        <w:spacing w:after="120"/>
      </w:pPr>
      <w:r>
        <w:rPr>
          <w:b/>
          <w:bCs/>
        </w:rPr>
        <w:t xml:space="preserve">Mid/large-cap (~Rs 26,074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tailwind yes (gold-price supercycle + broad retail-credit penetration, a live priority-2 theme). tam weak (Rs 26,000 Cr mcap already; a literal 10x needs Capri to become a top-5 Indian NBFC - arithmetic headroom exists but is a stretch in 2-3 years). moat weak (execution/operating-leverage edge, but gold-loan and MSME lending are competitive with Muthoot/Manappuram/IIFL). valuation weak (upgraded from 'no': at ~24x TTM / ~18x forward on a book growing 60%+ with 19% ROE, the multiple is NOT pricing the thesis in - but the stock is at an all-time high so there is no price margin of safety). score 2.5 -&gt; growth-magnitude exception invoked in verdict_reasoning (AUM +62%, PAT +102%, ROE still climbing - evidenced not projected) -&gt; thesis_fit '10x-in-2-3-years' permitted.</w:t>
      </w:r>
    </w:p>
    <w:p>
      <w:pPr>
        <w:pStyle w:val="Heading1"/>
        <w:spacing w:after="120" w:before="280"/>
      </w:pPr>
      <w:r>
        <w:t xml:space="preserve">Verdict</w:t>
      </w:r>
    </w:p>
    <w:p>
      <w:pPr>
        <w:spacing w:after="120"/>
      </w:pPr>
      <w:r>
        <w:rPr>
          <w:b/>
          <w:bCs/>
          <w:sz w:val="24"/>
          <w:szCs w:val="24"/>
        </w:rPr>
      </w:r>
    </w:p>
    <w:p>
      <w:pPr>
        <w:pStyle w:val="ListParagraph"/>
        <w:numPr>
          <w:ilvl w:val="0"/>
          <w:numId w:val="1"/>
        </w:numPr>
        <w:spacing w:after="60"/>
      </w:pPr>
      <w:r>
        <w:t xml:space="preserve">External-lead (tier 4.5, @StocksAndStoics). Live-theme match: 'Gold financiers' (priority 2) - direct hit; gold loans are ~46% of AUM and the primary growth engine (+111% YoY). four_box score 2.5, growth-magnitude exception invoked in writing (un-ignorable evidenced growth) -&gt; thesis_fit '10x-in-2-3-years' permitted.</w:t>
      </w:r>
    </w:p>
    <w:p>
      <w:pPr>
        <w:pStyle w:val="ListParagraph"/>
        <w:numPr>
          <w:ilvl w:val="0"/>
          <w:numId w:val="1"/>
        </w:numPr>
        <w:spacing w:after="60"/>
      </w:pPr>
      <w:r>
        <w:t xml:space="preserve">Conviction raised Medium -&gt; Medium-High: four-plus quarters of evidenced acceleration (AUM +62%, PAT +102%, ROAE 12.6% -&gt; 19.1%), a RAISED FY28 AUM target (Rs 65,000 Cr) from a management that has been beating, and - importantly - a multiple that has NOT run away (~24x TTM / ~18x forward), which materially weakens the prior 'the re-rating is done' concern.</w:t>
      </w:r>
    </w:p>
    <w:p>
      <w:pPr>
        <w:pStyle w:val="ListParagraph"/>
        <w:numPr>
          <w:ilvl w:val="0"/>
          <w:numId w:val="1"/>
        </w:numPr>
        <w:spacing w:after="60"/>
      </w:pPr>
      <w:r>
        <w:t xml:space="preserve">Held below High by: (a) an unresolved (unconfirmed) founder-identity governance question never answered on the VP thread - independently verify the promoter bio before any material sizing; (b) rising gold-loan concentration (~46% of AUM) making the growth engine increasingly single-product and gold-price-sensitive; (c) construction-finance GNPA drifting up (0.3% -&gt; 0.7%).</w:t>
      </w:r>
    </w:p>
    <w:p>
      <w:pPr>
        <w:pStyle w:val="ListParagraph"/>
        <w:numPr>
          <w:ilvl w:val="0"/>
          <w:numId w:val="1"/>
        </w:numPr>
        <w:spacing w:after="60"/>
      </w:pPr>
      <w:r>
        <w:t xml:space="preserve">No red_flag_tier - the governance question does not clear the AVOID/EXCLUDE/HIGH CAUTION bar (no verified link, no active order), but it is explicitly flagged for follow-up.</w:t>
      </w:r>
    </w:p>
    <w:p>
      <w:pPr>
        <w:pStyle w:val="ListParagraph"/>
        <w:numPr>
          <w:ilvl w:val="0"/>
          <w:numId w:val="1"/>
        </w:numPr>
        <w:spacing w:after="60"/>
      </w:pPr>
      <w:r>
        <w:t xml:space="preserve">peak_margin_risk set true: ROAA ~4.1% is partly gold-price-cyclical; a defensible through-cycle ROA is likely nearer 3-3.5%. This applies a haircut in the expectation-gap score, which is appropriate given the gap_direction is 'partially-priced'.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Capri Global Capital Ltd</w:t>
      </w:r>
    </w:p>
    <w:p>
      <w:pPr>
        <w:ind w:left="360"/>
      </w:pPr>
      <w:r>
        <w:t xml:space="preserve">  • Conviction: Medium-High</w:t>
      </w:r>
    </w:p>
    <w:p>
      <w:pPr>
        <w:ind w:left="360"/>
      </w:pPr>
      <w:r>
        <w:t xml:space="preserve">  • Thesis: 10x-in-2-3-years</w:t>
      </w:r>
    </w:p>
    <w:p>
      <w:pPr>
        <w:ind w:left="360"/>
      </w:pPr>
      <w:r>
        <w:t xml:space="preserve">  • 4-Box Score: 2.5</w:t>
      </w:r>
    </w:p>
    <w:p>
      <w:pPr>
        <w:ind w:left="360"/>
      </w:pPr>
      <w:r>
        <w:t xml:space="preserve">  • Research Date: 2026-09-08</w:t>
      </w:r>
    </w:p>
    <w:p>
      <w:pPr>
        <w:ind w:left="360"/>
      </w:pPr>
      <w:r>
        <w:t xml:space="preserve">  • Red Flag: None</w:t>
      </w:r>
    </w:p>
    <w:p/>
    <w:p>
      <w:r>
        <w:rPr>
          <w:b/>
        </w:rPr>
        <w:t>📝 Verdict:</w:t>
      </w:r>
    </w:p>
    <w:p>
      <w:pPr>
        <w:ind w:left="360"/>
      </w:pPr>
    </w:p>
    <w:p/>
    <w:p>
      <w:r>
        <w:rPr>
          <w:b/>
        </w:rPr>
        <w:t>📈 Bull Case:</w:t>
      </w:r>
    </w:p>
    <w:p>
      <w:pPr>
        <w:ind w:left="360"/>
      </w:pPr>
      <w:r>
        <w:t>AUM +62% YoY and PAT +102% YoY with ROE inflecting from ~12.6% to a guided 19-21% by FY28 — a genuine, evidenced acceleration, not a promise</w:t>
      </w:r>
    </w:p>
    <w:p>
      <w:pPr>
        <w:ind w:left="360"/>
      </w:pPr>
      <w:r>
        <w:t>Gold-loan supercycle exposure (46% of AUM, +111% YoY) ties directly into the live priority-2 'gold financiers' theme (gold price at all-time highs -&gt; PAT)</w:t>
      </w:r>
    </w:p>
    <w:p>
      <w:pPr>
        <w:ind w:left="360"/>
      </w:pPr>
      <w:r>
        <w:t>AI-first, platform-centric lending model showing real operating leverage (disbursements +87% YoY vs. headcount +19% YoY)</w:t>
      </w:r>
    </w:p>
    <w:p>
      <w:pPr>
        <w:ind w:left="360"/>
      </w:pPr>
      <w:r>
        <w:t>Ample capital (CAR ~30%+) to keep funding the growth without near-term dilution pressure</w:t>
      </w:r>
    </w:p>
    <w:p/>
    <w:p>
      <w:r>
        <w:rPr>
          <w:b/>
        </w:rPr>
        <w:t>📉 Bear Case:</w:t>
      </w:r>
    </w:p>
    <w:p>
      <w:pPr>
        <w:ind w:left="360"/>
      </w:pPr>
      <w:r>
        <w:t>Stock already up ~70% in 6 months to near its all-time high — much of the acceleration story is priced in, leaving less margin of safety for new capital</w:t>
      </w:r>
    </w:p>
    <w:p>
      <w:pPr>
        <w:ind w:left="360"/>
      </w:pPr>
      <w:r>
        <w:t>Construction-finance GNPA rising (0.3% -&gt; 0.7%), a segment with a history of lumpiness for this company specifically</w:t>
      </w:r>
    </w:p>
    <w:p>
      <w:pPr>
        <w:ind w:left="360"/>
      </w:pPr>
      <w:r>
        <w:t>An unresolved (if unconfirmed) governance question about the founder's identity/history was raised on the VP thread and never answered</w:t>
      </w:r>
    </w:p>
    <w:p>
      <w:pPr>
        <w:ind w:left="360"/>
      </w:pPr>
      <w:r>
        <w:t>Diversified NBFC model (gold + MSME + housing + construction + car loans) is complex to underwrite from outside; gold-loan concentration risk rises as that segment becomes the dominant growth driver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2026-09-08T07:01:26.703Z</dcterms:created>
  <dcterms:modified xsi:type="dcterms:W3CDTF">2026-09-08T07:01:26.704Z</dcterms:modified>
</cp:coreProperties>
</file>

<file path=docProps/custom.xml><?xml version="1.0" encoding="utf-8"?>
<Properties xmlns="http://schemas.openxmlformats.org/officeDocument/2006/custom-properties" xmlns:vt="http://schemas.openxmlformats.org/officeDocument/2006/docPropsVTypes"/>
</file>