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Control Print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Sticky, toll-booth-like coding/marking near-monopoly with a debt-free, dividend-paying core — but growth stalled to +3.8% in Q1 FY27 and the new international-packaging verticals are still loss-making with breakeven now pushed and 'uncertain'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Control Print manufactures coding and marking machines, consumables (inks/fluids), spares and services, with a dominant/near-monopoly position in India's small (~Rs 1,500-1,700 Cr) marking-and-coding industry and the only domestic manufacturer of both printers and consumables (plants at Nalagarh HP and Guwahati). Model is genuinely sticky: printer life ~8 years and consumables/spares/service must then be sourced from Control Print. Since ~2022-23 it has reinvested core cash flow into international packaging / digital-print verticals — CP Italy S.R.L. / V-Shapes, Markprint BV, Codeology, plus a Track &amp; Trace SaaS effort — which have so far been a drag on consolidated returns.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~910-960 Cr (CMP ~Rs 600; 52-wk Rs 517.5 - 918.5)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9.52% consolidated (core standalone materially higher; packaging losses drag the consol number)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consol Rs 482-484 Cr (+12.3% YoY); Q1 FY27 Rs 115.6 Cr (+3.8% YoY — sharp deceleration from a ~10%/qtr trend)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FY26 consol Rs 44 Cr (standalone ~Rs 80 Cr); FY25 consol Rs 100 Cr (likely acquisition-related one-off); Q1 FY27 consol Rs 3.92 Cr vs Rs 8.56 Cr YoY (standalone Rs 12.4 Cr vs Rs 21.3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~24-25x TTM consolidated EPS (~Rs 24); ~11-12x on standalone core earnings alone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Nearly debt-free (~Rs 7 Cr borrowings, Mar 2026); net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Rs 6/share for FY26 (~1.7% yield); consistent payer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Shareholding</w:t>
            </w:r>
          </w:p>
        </w:tc>
        <w:tc>
          <w:tcPr>
            <w:tcW w:type="dxa" w:w="5800"/>
          </w:tcPr>
          <w:p>
            <w:r>
              <w:t xml:space="preserve">Promoter ~53% stable, no pledge; FII 9.9% (2017) -&gt; 3.1% (Jun 2026); DII ~1%+ -&gt; 0.16% (effectively fully exited)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coding-and-marking business economics are excellent (recurring, high-switching-cost consumables/service revenue, debt-free, consistent dividend). But the deep read makes the 'not yet inflected' picture firmer, not softer: Q1 FY27 consolidated revenue grew only 3.8% YoY and consolidated PAT fell 54% to Rs 3.9 Cr, with standalone PAT down to Rs 12.4 Cr from Rs 21.3 Cr. Management explicitly prioritised 'cost optimization, operational efficiency and long-term reputation over short-term sales'. The international packaging verticals (CP Italy / V-Shapes the largest drag) remain loss-making; breakeven — targeted for FY27 — is described by management itself as facing uncertainty after losses widened in Q3 FY26 on delivery delays and model changes. In May 2026 the group consolidated CP Italy's patents/IP into the parent for EUR 2.86m. Community valuation work (Sipun_Mohanty) put fair EV near Rs 3,000 Cr vs a current ~Rs 1,000 Cr, but that gap is entirely contingent on the new verticals stabilising, which Q1 FY27 shows they have not. On consolidated earnings the stock is ~24-25x with flat growth; the quality case rests on the standalone core (~11-12x).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company page (valuation, quarterly + annual consolidated financials, shareholding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 results coverage — EquityBulls / TipRanks / Investing.com slides / Whalesbook / sahi.com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+ Q4 FY26 results and concall coverage — Whalesbook / scanx / Yahoo Finance earnings-call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 Italy IP Assignment Agreement (EUR 2.86m, effective 8 May 2026) —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signal notes (governance flag, acquisition-loss math, transition thesis)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consolidated: revenue ~Rs 482-484 Cr (+12.3% YoY), PAT Rs 44 Cr, EPS ~Rs 27; Rs 6/share dividend; standalone PAT ~Rs 80 Cr — the ~Rs 36 Cr gap is the packaging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consolidated PAT Rs 100 Cr (EPS ~Rs 62) sits above standalone and above FY24/FY26 — most plausibly an acquisition-related one-off (bargain-purchase / fair-value gain under Ind-AS); not a clean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Nearly debt-free: ~Rs 7 Cr borrowings at Mar 2026, net cash; ROCE 16.4%, consolidated ROE 9.52%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allocation since ~2022-23: ~Rs 55-60 Cr on three international acquisitions (CP Italy / V-Shapes, Markprint BV, Codeology) plus a further ~Rs 55-60 Cr of cumulative losses on them; May 2026 IP of CP Italy assigned up to the parent for EUR 2.86m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Shareholding: promoter ~53% stable, no pledge; FII 9.9% (2017) -&gt; 3.1% (Jun 2026); DII ~1%+ -&gt; 0.16% — institutions have effectively exited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independent director alleged (in-thread, public evidence) to be a related party by marriage to the chairman's family — not independently confirmed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(Dec-25): consol revenue Rs 118.8 Cr, PAT Rs 5.26 Cr; packaging losses widened on delivery delays / model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consol revenue Rs 139.9 Cr, PAT Rs 11.19 Cr (seasonally strongest quarter)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consol revenue Rs 115.6 Cr (+3.8% YoY), PAT Rs 3.92 Cr vs Rs 8.56 Cr YoY (-54%); standalone PAT Rs 12.4 Cr vs Rs 21.3 Cr; total comprehensive income Rs 18.05 Cr (FX / OCI, not operating)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Trend: YoY revenue growth decelerated from ~10%/qtr to +3.8%; core profitability down YoY; management guiding to cost optimisation and 'reputation over short-term sales'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Rs 6/share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 Italy S.R.L. IP Assignment Agreement — all patents/IP to the parent for EUR 2.86m, effective 8 May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(weak); investor meets scheduled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rating withdrawn / coverage moved to ICRA — described as a routine agency switch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clear step down: consol revenue +3.8% YoY (from ~10% trend), consol PAT -54%, standalone core PAT also down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Packaging breakeven (FY27 target) is now flagged by management as facing uncertainty; losses widened in Q3 FY26 — the inflection the whole re-rating thesis needs has not happened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consol PAT Rs 100 Cr appears to carry an acquisition one-off; the durable core run-rate is closer to the ~Rs 80 Cr standalone / ~Rs 44 Cr consol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consolidated earnings the stock is ~24-25x with flat growth; the 'cheap' framing only holds on the standalone core (~11-12x)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DII holding has fallen to 0.16% — institutions have essentially fully exited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core deceleration (+3.8%) a one-quarter blip or a genuine slowing of the coding/marking franchise?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CP Italy / V-Shapes actually reach breakeven in FY27, or does the target slip again?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independent-director related-party allegation accurate, and how has the board addressed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DIIs exit so completely, and what would bring institutional coverage back?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real cumulative cash return (or destruction) on the three acquisitions vs the ~Rs 110-120 Cr deployed + lost?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deep read is a mild negative: Q1 FY27 growth stalled to +3.8% and consolidated PAT fell 54%, the new-vertical breakeven is management's own target but 'uncertain' after two loss-making years, and DIIs have fully exited. The debt-free, dividend-paying, high-switching-cost core is a genuine floor, so this stays an interesting quality-at-fair-price watch rather than a deeper cut — but 'neither' on thesis-fit and one notch lower on conviction.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International packaging (CP Italy / V-Shapes) to reach breakeven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FY27; losses widened Q3 FY26 on delivery delays / model changes; ~Rs 55-60 Cr cumulative losses to date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 CP Italy IP into the parent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 Assignment Agreement, EUR 2.86m, effective 8 May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optimisation / operational efficiency in the core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prioritising this over 'short-term sales'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installed-base printer fleet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recurring consumables / spares / service 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core EBITDA (high-margin, sticky)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less: international packaging losses (CP Italy / V-Shapes)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less: international packaging losses (CP Italy / V-Shapes).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core has operating leverage, but consolidated leverage is currently negative while the packaging verticals absorb it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installed-base printer fleet; recurring consumables / spares / service revenue; core EBITDA (high-margin, sticky); less: international packaging losses (CP Italy / V-Shapes). Still assumed: consolidated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600 · 24.5x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~24-25x TTM consolidated EPS with flat Q1 FY27 growth implies the market is paying up for a packaging-vertical inflection + core re-acceleration that is not yet visible; on standalone core (~11-12x) the price is undemanding but not cheap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 revenue ~Rs 500-520 Cr (low-to-mid single digit growth), packaging still around/near breakeven at best, consol PAT ~Rs 45-60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packaging breaks even and core returns to ~10%, consol PAT could step toward Rs 75-95 Cr; if not, 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~24-25x consolidated multiple requires the loss-making verticals to inflect and core growth to recover; Q1 FY27 (+3.8% revenue, -54% PAT) points the other way, so our FY28 PAT path sits below what the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product identification / coding-marking / traceability + digital packaging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domestic coding-and-marking OEM (printers + consumables + service); small, sub-scale entrant in international digital packaging via CP Italy / V-Shapes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scaling the packaging verticals to profitability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Danaher (Videojet), Dover (Markem-Imaje), Domino Printing (Brother), Markprint / Codeology (now CP subsidiaries)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Core: Control Print is effectively the last domestic manufacturer standing against MNC majors, giving it real pricing power and a service moat in India (survivor gains). Packaging verticals put it into a fragmented global arena against far larger players with no evident structural edge yet.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recurring consumables / service mix (structural, high-margin); installed-base growth; packaging losses currently suppressing consolidated margin (cyclical / execution).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margin is BELOW a normalised level, not above it — the packaging losses are depressing it. Core standalone margins are the structural signal; a normalised consolidated PAT is closer to standalone (~Rs 80 Cr) than to the Rs 44 Cr FY26 consol print, and well below the Rs 100 Cr FY25 one-off.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 revenue YoY: roughly ~10%+ through FY24-FY25, ~12% FY26, then +3.8% in Q1 FY27. Consol PAT: Rs 5.3 Cr (Q3 FY26) -&gt; Rs 11.2 Cr (Q4 FY26, seasonal) -&gt; Rs 3.9 Cr (Q1 FY27, -54% YoY).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 ~24-25x consolidated multiple needs sustained double-digit earnings growth; the current sequence is a deceleration, so the multiple looks stretched on consolidated numbers and merely fair on the standalone core.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Core cash flow redeployed into three international packaging acquisitions (~Rs 55-60 Cr) that have since produced ~Rs 55-60 Cr of cumulative losses with no clear inflection; FY27 breakeven target repeatedly caveated. Offsetting: debt-free discipline maintained and a consistent dividend (Rs 6 FY26). May 2026 IP consolidation into the parent is a sensible tidy-up.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Stated intent to move from hardware into traceability SaaS (Track &amp; Trace) and digital packaging IP, but execution unproven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16.4%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verifiable. FY25 (revenue ~+18%, ROCE &gt;15%) and FY26 (revenue +12.3%, ROCE ~16.4%) clear both the &gt;=10% revenue-growth and &gt;=15% ROCE bars. FY24 revenue growth was below ~10% so it does not clear. Consolidated ROE (9.52%) is depressed by packaging losses and is not the ROCE test. Q1 FY27's +3.8% growth puts FY27's clearance in doubt.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stock off its ATH, mid-range of a Rs 517-918 52-week band; community discussion notes it traded below the 200DMA at points through the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269 posts (single batch, no escalation, Dec 2023-Aug 2026). One poster framed the company as being in a 'reverse aging' phase — a mature cash-cow reinvesting into new growth verticals — a thesis that has yet to clearly inflect and, on Q1 FY27 numbers, has if anything slipped further out.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users harsh.beria93 (19 loves/2 posts, detailed concall notes) and Chandragupta (25 loves/2 posts, substantive transition-thesis commentary) both posted informational/analytical content, not explicit conviction calls with stated position size — no high-conviction entries logged. Ravi_Hundal (24 loves) raised a credible governance flag: an independent director appears to be a related party (brother of the chairman's son-in-law) based on public information. Nikunj_Bhanushali (Aug 2026, substantive) noted ~Rs 55-60 Cr paid for 3 acquisitions plus a further ~Rs 55-60 Cr of losses on them over 2 years (CP Italy / V-Shapes the bulk), directly questioning how this squares with reported ROE.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6-mo: FY26 results + Rs 6 dividend; IP Assignment Agreement with step-down subsidiary CP Italy S.R.L. to acquire all patents/IP for EUR 2.86m, effective 8 May 2026; investor meets scheduled. CRISIL rating withdrawn / moved to ICRA in 2026 — explained by other posters as a routine agency switch, not a solvency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sticky, monopoly-like core (8-year printer life locks in consumables/service; only domestic maker of both printers and inks) with very high switching costs and a long record of double-digit core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/ net-cash balance sheet and a consistent dividend (Rs 6 for FY26, ~1.7% yield); promoter ~53% and stable,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international packaging verticals reach breakeven, consolidated earnings normalise upward toward the standalone core (~Rs 80 Cr FY26) and the consolidated multiple compresses sharply from ~24x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valuation work estimates fair EV (~Rs 3,000 Cr) well above current (~Rs 1,000 Cr) with a 25% margin of safety, contingent on new-vertical stabilisation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stalled: Q1 FY27 consolidated revenue +3.8% YoY (vs a ~10%/qtr trend) and consolidated PAT -54% to Rs 3.9 Cr; standalone PAT also down YoY — the deceleration is now in the core, not just the verticals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New-vertical bets remain loss-making after ~2 years and ~Rs 55-60 Cr of cumulative losses on ~Rs 55-60 Cr invested; FY27 breakeven is management's own target but flagged as 'uncertain', and losses widened in Q3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ROE 9.52% does not clear a quality bar; the flattering standalone view depends on ring-fencing the packaging losses that management chose to take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governance flag: an independent director may be a related party by marriage to the chairman's family (public evidence, raised in-thread)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Institutional conviction has left: DII holding ~1%+ -&gt; 0.16%, FII 9.9% -&gt; 3.1%, over the period, with no clearly stated reason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 is small (~Rs 1,500-1,700 Cr industry) and Control Print is already dominant — a 10x needs the unproven packaging/traceability verticals to become a much larger business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910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yes: genuine razor/razorblade lock-in (8-year printer life, only domestic maker of printers + inks, high switching costs). Tailwind weak: coding/marking demand grows only low-single-digit at industry level and Q1 FY27 core growth slowed to +3.8%. TAM weak: ~Rs 1,500-1,700 Cr domestic industry where Control Print is already dominant — a 10x needs the unproven packaging verticals to become a much larger business. Valuation weak: ~24-25x consolidated EPS with flat growth is not 'room to pay'; only the standalone core (~11-12x) looks fair. Score 2.5 -&gt; 2.0-2.5 band, no written exception (valuation box not 'yes', growth decelerating not un-ignorable, not a large-cap) -&gt; thesis_fit 'neither'. No analyst_override needed.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toll-booth core business, debt-free and dividend-paying, but growth stalled in Q1 FY27 and the new-vertical bets that are supposed to drive a re-rating are still loss-making with breakeven pushed and 'uncertain' — downgraded to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2.5 (moat yes; tailwind / tam / valuation weak) lands in the 2.0-2.5 band with no written exception (valuation box is not 'yes', growth is decelerating rather than un-ignorable, not a large-cap) -&gt; thesis_fit 'neither' is the natural table outcome; the earlier analyst_override is no longer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read is a mild negative vs the initiation: Q1 FY27 consolidated revenue grew only 3.8% and PAT fell 54%; standalone core PAT also declined YoY; the packaging verticals (CP Italy / V-Shapes) are still loss-making with FY27 breakeven described by management as facing uncertainty after two years and ~Rs 55-60 Cr of losses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credible related-party independent-director concern and an effectively complete DII exit (to 0.16%) add governance / conviction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Offsetting floor: debt-free / net-cash, ~53% stable promoter with no pledge, a consistent Rs 6 dividend, and a genuinely high-switching-cost core keep this a Low-Medium quality-at-fair-price watch rather than a further downgrade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once there is clear evidence the new verticals (Track &amp; Trace, CP Italy) are inflecting rather than dragging, and that core growth has re-accelerated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Control Print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toll-booth core business, debt-free and dividend-paying, but growth stalled in Q1 FY27 and the new-vertical bets that are supposed to drive a re-rating are still loss-making with breakeven pushed and 'uncertain' — downgraded to Low-Medium</w:t>
      </w:r>
    </w:p>
    <w:p/>
    <w:p>
      <w:r>
        <w:rPr>
          <w:b/>
        </w:rPr>
        <w:t>📈 Bull Case:</w:t>
      </w:r>
    </w:p>
    <w:p>
      <w:pPr>
        <w:ind w:left="360"/>
      </w:pPr>
      <w:r>
        <w:t>Genuinely sticky, monopoly-like core (8-year printer life locks in consumables/service; only domestic maker of both printers and inks) with very high switching costs and a long record of double-digit core growth</w:t>
      </w:r>
    </w:p>
    <w:p>
      <w:pPr>
        <w:ind w:left="360"/>
      </w:pPr>
      <w:r>
        <w:t>Debt-free / net-cash balance sheet and a consistent dividend (Rs 6 for FY26, ~1.7% yield); promoter ~53% and stable, no pledge</w:t>
      </w:r>
    </w:p>
    <w:p>
      <w:pPr>
        <w:ind w:left="360"/>
      </w:pPr>
      <w:r>
        <w:t>If the international packaging verticals reach breakeven, consolidated earnings normalise upward toward the standalone core (~Rs 80 Cr FY26) and the consolidated multiple compresses sharply from ~24x</w:t>
      </w:r>
    </w:p>
    <w:p>
      <w:pPr>
        <w:ind w:left="360"/>
      </w:pPr>
      <w:r>
        <w:t>Community valuation work estimates fair EV (~Rs 3,000 Cr) well above current (~Rs 1,000 Cr) with a 25% margin of safety, contingent on new-vertical stabilisation</w:t>
      </w:r>
    </w:p>
    <w:p/>
    <w:p>
      <w:r>
        <w:rPr>
          <w:b/>
        </w:rPr>
        <w:t>📉 Bear Case:</w:t>
      </w:r>
    </w:p>
    <w:p>
      <w:pPr>
        <w:ind w:left="360"/>
      </w:pPr>
      <w:r>
        <w:t>Growth has stalled: Q1 FY27 consolidated revenue +3.8% YoY (vs a ~10%/qtr trend) and consolidated PAT -54% to Rs 3.9 Cr; standalone PAT also down YoY — the deceleration is now in the core, not just the verticals</w:t>
      </w:r>
    </w:p>
    <w:p>
      <w:pPr>
        <w:ind w:left="360"/>
      </w:pPr>
      <w:r>
        <w:t>New-vertical bets remain loss-making after ~2 years and ~Rs 55-60 Cr of cumulative losses on ~Rs 55-60 Cr invested; FY27 breakeven is management's own target but flagged as 'uncertain', and losses widened in Q3 FY26</w:t>
      </w:r>
    </w:p>
    <w:p>
      <w:pPr>
        <w:ind w:left="360"/>
      </w:pPr>
      <w:r>
        <w:t>Consolidated ROE 9.52% does not clear a quality bar; the flattering standalone view depends on ring-fencing the packaging losses that management chose to take on</w:t>
      </w:r>
    </w:p>
    <w:p>
      <w:pPr>
        <w:ind w:left="360"/>
      </w:pPr>
      <w:r>
        <w:t>Credible governance flag: an independent director may be a related party by marriage to the chairman's family (public evidence, raised in-thread)</w:t>
      </w:r>
    </w:p>
    <w:p>
      <w:pPr>
        <w:ind w:left="360"/>
      </w:pPr>
      <w:r>
        <w:t>Institutional conviction has left: DII holding ~1%+ -&gt; 0.16%, FII 9.9% -&gt; 3.1%, over the period, with no clearly stated reason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2026-09-08T07:01:29.311Z</dcterms:created>
  <dcterms:modified xsi:type="dcterms:W3CDTF">2026-09-08T07:01:29.312Z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