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Emmvee Photovoltaic Power Ltd</w:t>
      </w:r>
    </w:p>
    <w:p>
      <w:pPr>
        <w:pBdr>
          <w:bottom w:val="single" w:color="CCCCCC" w:sz="6" w:space="8"/>
        </w:pBdr>
        <w:spacing w:after="200"/>
      </w:pPr>
      <w:r>
        <w:rPr>
          <w:i/>
          <w:iCs/>
          <w:color w:val="666666"/>
          <w:sz w:val="22"/>
          <w:szCs w:val="22"/>
        </w:rPr>
        <w:t xml:space="preserve">Integrated TOPCon solar cell + module maker whose PAT went from Rs 9 Cr (FY23) to Rs 1,082 Cr (FY26) on a policy shift (ALMM List-II) — real, already-executed deleveraging (debt -83% FY25-&gt;FY26, ICRA upgrade) and a 9.9 GW order book, but even the bullish sell-side case (Jefferies) models margin normalisation as industry-wide cell capacity comes online.</w:t>
      </w:r>
    </w:p>
    <w:p>
      <w:pPr>
        <w:pStyle w:val="Heading1"/>
        <w:spacing w:after="120" w:before="280"/>
      </w:pPr>
      <w:r>
        <w:t xml:space="preserve">Business Overview</w:t>
      </w:r>
    </w:p>
    <w:p>
      <w:pPr>
        <w:spacing w:after="120"/>
      </w:pPr>
      <w:r>
        <w:t xml:space="preserve">Emmvee (Bengaluru, listed Nov 2025) is an integrated solar PV manufacturer — modules plus the TOPCon cells that go inside them — across five factories clustered around Bengaluru. It began ~two decades ago in solar water heaters before moving to full-scale module and then cell manufacturing. Current capacity ~10.3 GW modules / 2.94 GW cells; a 6 GW integrated TOPCon facility is being commissioned (module line Dec 2026, cell line Mar 2027), taking capacity to ~16.3 GW modules / ~8.9 GW cells by early FY28. It is described as India's 2nd pure-play integrated cell-and-module manufacturer by capacity.</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22,000-23,400 Cr (mid-cap)</w:t>
            </w:r>
          </w:p>
        </w:tc>
      </w:tr>
      <w:tr>
        <w:tc>
          <w:tcPr>
            <w:tcW w:type="dxa" w:w="3200"/>
            <w:shd w:fill="F2F2F2" w:val="clear"/>
          </w:tcPr>
          <w:p>
            <w:r>
              <w:rPr>
                <w:b/>
                <w:bCs/>
              </w:rPr>
              <w:t xml:space="preserve">ROE / ROCE</w:t>
            </w:r>
          </w:p>
        </w:tc>
        <w:tc>
          <w:tcPr>
            <w:tcW w:type="dxa" w:w="5800"/>
          </w:tcPr>
          <w:p>
            <w:r>
              <w:t xml:space="preserve">~51-56% / ~45% (FY26)</w:t>
            </w:r>
          </w:p>
        </w:tc>
      </w:tr>
      <w:tr>
        <w:tc>
          <w:tcPr>
            <w:tcW w:type="dxa" w:w="3200"/>
            <w:shd w:fill="F2F2F2" w:val="clear"/>
          </w:tcPr>
          <w:p>
            <w:r>
              <w:rPr>
                <w:b/>
                <w:bCs/>
              </w:rPr>
              <w:t xml:space="preserve">Revenue</w:t>
            </w:r>
          </w:p>
        </w:tc>
        <w:tc>
          <w:tcPr>
            <w:tcW w:type="dxa" w:w="5800"/>
          </w:tcPr>
          <w:p>
            <w:r>
              <w:t xml:space="preserve">FY25 total income Rs 2,360 Cr (+147% YoY); FY26 revenue roughly doubled again; Q1 FY27 Rs 1,556 Cr (+51% YoY)</w:t>
            </w:r>
          </w:p>
        </w:tc>
      </w:tr>
      <w:tr>
        <w:tc>
          <w:tcPr>
            <w:tcW w:type="dxa" w:w="3200"/>
            <w:shd w:fill="F2F2F2" w:val="clear"/>
          </w:tcPr>
          <w:p>
            <w:r>
              <w:rPr>
                <w:b/>
                <w:bCs/>
              </w:rPr>
              <w:t xml:space="preserve">PAT</w:t>
            </w:r>
          </w:p>
        </w:tc>
        <w:tc>
          <w:tcPr>
            <w:tcW w:type="dxa" w:w="5800"/>
          </w:tcPr>
          <w:p>
            <w:r>
              <w:t xml:space="preserve">Rs 9 Cr (FY23) -&gt; ~Rs 1,082 Cr (FY26); Q1 FY27 PAT Rs 380 Cr (+103% YoY)</w:t>
            </w:r>
          </w:p>
        </w:tc>
      </w:tr>
      <w:tr>
        <w:tc>
          <w:tcPr>
            <w:tcW w:type="dxa" w:w="3200"/>
            <w:shd w:fill="F2F2F2" w:val="clear"/>
          </w:tcPr>
          <w:p>
            <w:r>
              <w:rPr>
                <w:b/>
                <w:bCs/>
              </w:rPr>
              <w:t xml:space="preserve">Q1 FY27 margins</w:t>
            </w:r>
          </w:p>
        </w:tc>
        <w:tc>
          <w:tcPr>
            <w:tcW w:type="dxa" w:w="5800"/>
          </w:tcPr>
          <w:p>
            <w:r>
              <w:t xml:space="preserve">EBITDA margin 35.2% (all-time high, vs 34.1% YoY); PAT margin 24.2% (record)</w:t>
            </w:r>
          </w:p>
        </w:tc>
      </w:tr>
      <w:tr>
        <w:tc>
          <w:tcPr>
            <w:tcW w:type="dxa" w:w="3200"/>
            <w:shd w:fill="F2F2F2" w:val="clear"/>
          </w:tcPr>
          <w:p>
            <w:r>
              <w:rPr>
                <w:b/>
                <w:bCs/>
              </w:rPr>
              <w:t xml:space="preserve">Order book</w:t>
            </w:r>
          </w:p>
        </w:tc>
        <w:tc>
          <w:tcPr>
            <w:tcW w:type="dxa" w:w="5800"/>
          </w:tcPr>
          <w:p>
            <w:r>
              <w:t xml:space="preserve">~9.9 GW all-time high; Q1 inflows 1.48 GW; repeat-customer rate 57%; incl. a new 4.5 GWp TOPCon cell supply deal won by subsidiary Emmvee Energy</w:t>
            </w:r>
          </w:p>
        </w:tc>
      </w:tr>
      <w:tr>
        <w:tc>
          <w:tcPr>
            <w:tcW w:type="dxa" w:w="3200"/>
            <w:shd w:fill="F2F2F2" w:val="clear"/>
          </w:tcPr>
          <w:p>
            <w:r>
              <w:rPr>
                <w:b/>
                <w:bCs/>
              </w:rPr>
              <w:t xml:space="preserve">Balance sheet</w:t>
            </w:r>
          </w:p>
        </w:tc>
        <w:tc>
          <w:tcPr>
            <w:tcW w:type="dxa" w:w="5800"/>
          </w:tcPr>
          <w:p>
            <w:r>
              <w:t xml:space="preserve">Debt fell from ~Rs 2,065 Cr (Mar-25) to ~Rs 360 Cr (Mar-26) after IPO proceeds (Rs 1,621 Cr) prepaid term loans; ICRA upgraded rating to [ICRA]A (Stable); interest coverage ~8.2x (9M FY26), debt/OPBDITA ~0.2x FY26 vs 2.8x FY25</w:t>
            </w:r>
          </w:p>
        </w:tc>
      </w:tr>
      <w:tr>
        <w:tc>
          <w:tcPr>
            <w:tcW w:type="dxa" w:w="3200"/>
            <w:shd w:fill="F2F2F2" w:val="clear"/>
          </w:tcPr>
          <w:p>
            <w:r>
              <w:rPr>
                <w:b/>
                <w:bCs/>
              </w:rPr>
              <w:t xml:space="preserve">Stock P/E</w:t>
            </w:r>
          </w:p>
        </w:tc>
        <w:tc>
          <w:tcPr>
            <w:tcW w:type="dxa" w:w="5800"/>
          </w:tcPr>
          <w:p>
            <w:r>
              <w:t xml:space="preserve">~17.8x trailing (price ~Rs 328, EPS basis) — optically low but on peak-cycle margins</w:t>
            </w:r>
          </w:p>
        </w:tc>
      </w:tr>
      <w:tr>
        <w:tc>
          <w:tcPr>
            <w:tcW w:type="dxa" w:w="3200"/>
            <w:shd w:fill="F2F2F2" w:val="clear"/>
          </w:tcPr>
          <w:p>
            <w:r>
              <w:rPr>
                <w:b/>
                <w:bCs/>
              </w:rPr>
              <w:t xml:space="preserve">Policy</w:t>
            </w:r>
          </w:p>
        </w:tc>
        <w:tc>
          <w:tcPr>
            <w:tcW w:type="dxa" w:w="5800"/>
          </w:tcPr>
          <w:p>
            <w:r>
              <w:t xml:space="preserve">ALMM List-II (mandatory domestic solar cells for eligible projects) effective Jun 2026; Emmvee is on the approved list, moving to a fully DCR-compliant portfolio</w:t>
            </w:r>
          </w:p>
        </w:tc>
      </w:tr>
      <w:tr>
        <w:tc>
          <w:tcPr>
            <w:tcW w:type="dxa" w:w="3200"/>
            <w:shd w:fill="F2F2F2" w:val="clear"/>
          </w:tcPr>
          <w:p>
            <w:r>
              <w:rPr>
                <w:b/>
                <w:bCs/>
              </w:rPr>
              <w:t xml:space="preserve">Analyst view</w:t>
            </w:r>
          </w:p>
        </w:tc>
        <w:tc>
          <w:tcPr>
            <w:tcW w:type="dxa" w:w="5800"/>
          </w:tcPr>
          <w:p>
            <w:r>
              <w:t xml:space="preserve">Jefferies (Buy) raised target to Rs 440 (from Rs 400); lifted FY27/FY28 EBITDA estimates +2%/+7%, models 33% EBITDA CAGR to FY29 — but explicitly expects industry-wide capacity (151 GW cells / 217 GW modules by FY28E) to normalise margins toward high-teens ROCE through-cycle</w:t>
            </w:r>
          </w:p>
        </w:tc>
      </w:tr>
      <w:tr>
        <w:tc>
          <w:tcPr>
            <w:tcW w:type="dxa" w:w="3200"/>
            <w:shd w:fill="F2F2F2" w:val="clear"/>
          </w:tcPr>
          <w:p>
            <w:r>
              <w:rPr>
                <w:b/>
                <w:bCs/>
              </w:rPr>
              <w:t xml:space="preserve">Other</w:t>
            </w:r>
          </w:p>
        </w:tc>
        <w:tc>
          <w:tcPr>
            <w:tcW w:type="dxa" w:w="5800"/>
          </w:tcPr>
          <w:p>
            <w:r>
              <w:t xml:space="preserve">Rs ~7.68 Cr customs penalty (duty-benefit classification dispute) received Mar-2026 — immaterial in size, no operational impact disclosed</w:t>
            </w:r>
          </w:p>
        </w:tc>
      </w:tr>
    </w:tbl>
    <w:p>
      <w:pPr>
        <w:spacing w:after="100"/>
      </w:pPr>
    </w:p>
    <w:p>
      <w:pPr>
        <w:spacing w:after="120"/>
      </w:pPr>
      <w:r>
        <w:t xml:space="preserve">The 120x PAT jump in three years did not come from a new product — it came from ALMM (and DCR/PLI) rules that decide which panels can compete for a large, protected slice of India's ~45 GW/year solar demand, and Emmvee was one of very few Indian firms already built with integrated domestic cell capacity to capture it. The deleveraging that followed is genuinely executed, not just promised: IPO proceeds prepaid ~Rs 1,621 Cr of term loans, cutting debt ~83% in a year and earning an ICRA rating upgrade with interest coverage now ~8.2x. Growth is also multi-sourced — a live 2.5 GW module line (running since Dec-2025), a 9.9 GW order book, and a new 4.5 GWp cell supply deal — not resting on one promise. The risk is precisely the earnings base: solar cell/module manufacturing is globally one of the most brutally cyclical, commoditised industries, Chinese overcapacity is structural, and every major Indian player (Waaree, Premier Energies, Adani, ReNew, Tata Power, Websol and others) is adding integrated cell lines. Even Emmvee's own bull case on the Street (Jefferies, Buy, Rs 440 target) explicitly models this: it still only gets to 'high-teens ROCE through-cycle,' not the current 45-56%. As domestic cell supply catches up with the protected demand, today's margins normalise toward mid-to-high-teens EBITDA — so the ~18x optical P/E is on an earnings number that is very unlikely to be the through-cycle level.</w:t>
      </w:r>
    </w:p>
    <w:p>
      <w:pPr>
        <w:pStyle w:val="Heading1"/>
        <w:spacing w:after="120" w:before="280"/>
      </w:pPr>
      <w:r>
        <w:t xml:space="preserve">Deep-Dive: Primary Documents (Annual Reports, Quarterly Results, Exchange Filings)</w:t>
      </w:r>
    </w:p>
    <w:p>
      <w:pPr>
        <w:spacing w:after="120"/>
      </w:pPr>
      <w:r>
        <w:rPr>
          <w:i/>
          <w:iCs/>
          <w:color w:val="666666"/>
          <w:sz w:val="18"/>
          <w:szCs w:val="18"/>
        </w:rPr>
        <w:t xml:space="preserve">Pass 1 — 2026-09-18. Built from the company's own filings (3 years of annual reports, ~4 quarters of results/concalls, and 6 months of BSE/NSE announcements), read via the web — a deeper layer than the forum-sentiment read below.</w:t>
      </w:r>
    </w:p>
    <w:p>
      <w:pPr>
        <w:spacing w:after="120"/>
      </w:pPr>
      <w:r>
        <w:rPr>
          <w:b/>
          <w:bCs/>
          <w:sz w:val="20"/>
          <w:szCs w:val="20"/>
        </w:rPr>
        <w:t xml:space="preserve">Sources reviewed this pass:</w:t>
      </w:r>
    </w:p>
    <w:p>
      <w:pPr>
        <w:pStyle w:val="ListParagraph"/>
        <w:numPr>
          <w:ilvl w:val="0"/>
          <w:numId w:val="1"/>
        </w:numPr>
        <w:spacing w:after="60"/>
      </w:pPr>
      <w:r>
        <w:t xml:space="preserve">Q1 FY27 earnings call / results summary (16-Jul-2026) via AIM Investments, EquityBulls, AlphaStreet</w:t>
      </w:r>
    </w:p>
    <w:p>
      <w:pPr>
        <w:pStyle w:val="ListParagraph"/>
        <w:numPr>
          <w:ilvl w:val="0"/>
          <w:numId w:val="1"/>
        </w:numPr>
        <w:spacing w:after="60"/>
      </w:pPr>
      <w:r>
        <w:t xml:space="preserve">Screener.in consolidated financials &amp; shareholding pattern</w:t>
      </w:r>
    </w:p>
    <w:p>
      <w:pPr>
        <w:pStyle w:val="ListParagraph"/>
        <w:numPr>
          <w:ilvl w:val="0"/>
          <w:numId w:val="1"/>
        </w:numPr>
        <w:spacing w:after="60"/>
      </w:pPr>
      <w:r>
        <w:t xml:space="preserve">IPO DRHP/prospectus summaries (Angel One, INDmoney, Chittorgarh) -- promoter holding, TOPCon/Fraunhofer JV, capex plan</w:t>
      </w:r>
    </w:p>
    <w:p>
      <w:pPr>
        <w:pStyle w:val="ListParagraph"/>
        <w:numPr>
          <w:ilvl w:val="0"/>
          <w:numId w:val="1"/>
        </w:numPr>
        <w:spacing w:after="60"/>
      </w:pPr>
      <w:r>
        <w:t xml:space="preserve">ICRA rating rationale -- rating upgrade to [ICRA]A, debt/OPBDITA and interest-coverage figures</w:t>
      </w:r>
    </w:p>
    <w:p>
      <w:pPr>
        <w:pStyle w:val="ListParagraph"/>
        <w:numPr>
          <w:ilvl w:val="0"/>
          <w:numId w:val="1"/>
        </w:numPr>
        <w:spacing w:after="60"/>
      </w:pPr>
      <w:r>
        <w:t xml:space="preserve">Jefferies broker-note coverage (Business Standard, Univest, Tradebrains) -- target-price revisions and FY27/28 EBITDA estimates</w:t>
      </w:r>
    </w:p>
    <w:p>
      <w:pPr>
        <w:pStyle w:val="ListParagraph"/>
        <w:numPr>
          <w:ilvl w:val="0"/>
          <w:numId w:val="1"/>
        </w:numPr>
        <w:spacing w:after="60"/>
      </w:pPr>
      <w:r>
        <w:t xml:space="preserve">News: Saurenergy (4.5 GWp TOPCon cell order win), Business Standard (2.5 GW module line start Dec-2025), Scanx (customs penalty)</w:t>
      </w:r>
    </w:p>
    <w:p>
      <w:pPr>
        <w:spacing w:after="120"/>
      </w:pPr>
      <w:r>
        <w:rPr>
          <w:b/>
          <w:bCs/>
          <w:sz w:val="20"/>
          <w:szCs w:val="20"/>
        </w:rPr>
        <w:t xml:space="preserve">Annual-report findings (3-year view):</w:t>
      </w:r>
    </w:p>
    <w:p>
      <w:pPr>
        <w:pStyle w:val="ListParagraph"/>
        <w:numPr>
          <w:ilvl w:val="0"/>
          <w:numId w:val="1"/>
        </w:numPr>
        <w:spacing w:after="60"/>
      </w:pPr>
      <w:r>
        <w:t xml:space="preserve">IPO (Nov-2025) raised ~Rs 2,900 Cr; Rs 1,621 Cr of proceeds used to prepay term loans, cutting total debt from ~Rs 2,065 Cr (Mar-25) to ~Rs 360 Cr (Mar-26)</w:t>
      </w:r>
    </w:p>
    <w:p>
      <w:pPr>
        <w:pStyle w:val="ListParagraph"/>
        <w:numPr>
          <w:ilvl w:val="0"/>
          <w:numId w:val="1"/>
        </w:numPr>
        <w:spacing w:after="60"/>
      </w:pPr>
      <w:r>
        <w:t xml:space="preserve">ICRA upgraded the long-term rating to [ICRA]A (Stable) post-IPO; interest coverage improved to ~8.2x (9M FY26) from ~6.9x (FY25); debt/OPBDITA ~0.2x FY26 vs 2.8x FY25</w:t>
      </w:r>
    </w:p>
    <w:p>
      <w:pPr>
        <w:pStyle w:val="ListParagraph"/>
        <w:numPr>
          <w:ilvl w:val="0"/>
          <w:numId w:val="1"/>
        </w:numPr>
        <w:spacing w:after="60"/>
      </w:pPr>
      <w:r>
        <w:t xml:space="preserve">Promoters (Dhonti Venkatarathnaiah Manjunatha family) held 100% pre-IPO, 80.03% post-IPO, stable through Q1 FY27; no pledge disclosed</w:t>
      </w:r>
    </w:p>
    <w:p>
      <w:pPr>
        <w:pStyle w:val="ListParagraph"/>
        <w:numPr>
          <w:ilvl w:val="0"/>
          <w:numId w:val="1"/>
        </w:numPr>
        <w:spacing w:after="60"/>
      </w:pPr>
      <w:r>
        <w:t xml:space="preserve">2022 R&amp;D tie-up with Fraunhofer ISE (Germany) underpins the TOPCon cell technology</w:t>
      </w:r>
    </w:p>
    <w:p>
      <w:pPr>
        <w:pStyle w:val="ListParagraph"/>
        <w:numPr>
          <w:ilvl w:val="0"/>
          <w:numId w:val="1"/>
        </w:numPr>
        <w:spacing w:after="60"/>
      </w:pPr>
      <w:r>
        <w:t xml:space="preserve">Received a ~Rs 7.68 Cr customs penalty (duty-benefit classification dispute) in March 2026 -- immaterial vs scale but a compliance flag worth monitoring</w:t>
      </w:r>
    </w:p>
    <w:p>
      <w:pPr>
        <w:spacing w:after="120"/>
      </w:pPr>
      <w:r>
        <w:rPr>
          <w:b/>
          <w:bCs/>
          <w:sz w:val="20"/>
          <w:szCs w:val="20"/>
        </w:rPr>
        <w:t xml:space="preserve">Quarterly trend (last ~4 quarters + concall commentary):</w:t>
      </w:r>
    </w:p>
    <w:p>
      <w:pPr>
        <w:pStyle w:val="ListParagraph"/>
        <w:numPr>
          <w:ilvl w:val="0"/>
          <w:numId w:val="1"/>
        </w:numPr>
        <w:spacing w:after="60"/>
      </w:pPr>
      <w:r>
        <w:t xml:space="preserve">Q2 FY26 (Sep-25): Revenue Rs 1,131 Cr, EBITDA Rs 399 Cr, PAT Rs 238 Cr</w:t>
      </w:r>
    </w:p>
    <w:p>
      <w:pPr>
        <w:pStyle w:val="ListParagraph"/>
        <w:numPr>
          <w:ilvl w:val="0"/>
          <w:numId w:val="1"/>
        </w:numPr>
        <w:spacing w:after="60"/>
      </w:pPr>
      <w:r>
        <w:t xml:space="preserve">Q3 FY26 (Dec-25): Revenue Rs 1,152 Cr, EBITDA Rs 413 Cr, PAT Rs 264 Cr</w:t>
      </w:r>
    </w:p>
    <w:p>
      <w:pPr>
        <w:pStyle w:val="ListParagraph"/>
        <w:numPr>
          <w:ilvl w:val="0"/>
          <w:numId w:val="1"/>
        </w:numPr>
        <w:spacing w:after="60"/>
      </w:pPr>
      <w:r>
        <w:t xml:space="preserve">Q4 FY26 (Mar-26): Revenue Rs 1,739 Cr, EBITDA Rs 571 Cr, PAT Rs 392 Cr</w:t>
      </w:r>
    </w:p>
    <w:p>
      <w:pPr>
        <w:pStyle w:val="ListParagraph"/>
        <w:numPr>
          <w:ilvl w:val="0"/>
          <w:numId w:val="1"/>
        </w:numPr>
        <w:spacing w:after="60"/>
      </w:pPr>
      <w:r>
        <w:t xml:space="preserve">Q1 FY27 (Jun-26): Revenue Rs 1,556 Cr (+51% YoY), EBITDA Rs 548 Cr (+56% YoY, margin 35.2% -- all-time high), PAT Rs 380 Cr (+103% YoY); cell utilisation 83% (vs 68% YoY), module utilisation 45%; order book 9.9 GW all-time high, Q1 inflows 1.48 GW</w:t>
      </w:r>
    </w:p>
    <w:p>
      <w:pPr>
        <w:pStyle w:val="ListParagraph"/>
        <w:numPr>
          <w:ilvl w:val="0"/>
          <w:numId w:val="1"/>
        </w:numPr>
        <w:spacing w:after="60"/>
      </w:pPr>
      <w:r>
        <w:t xml:space="preserve">Revenue/PAT YoY growth RATE is decelerating off an ever-higher base (FY25 total income +147% YoY -&gt; Q1 FY27 +51% YoY) even as absolute earnings keep climbing -- consistent with a policy-driven super-cycle maturing, not yet cracking</w:t>
      </w:r>
    </w:p>
    <w:p>
      <w:pPr>
        <w:spacing w:after="120"/>
      </w:pPr>
      <w:r>
        <w:rPr>
          <w:b/>
          <w:bCs/>
          <w:sz w:val="20"/>
          <w:szCs w:val="20"/>
        </w:rPr>
        <w:t xml:space="preserve">Exchange announcements (last 6 months):</w:t>
      </w:r>
    </w:p>
    <w:p>
      <w:pPr>
        <w:pStyle w:val="ListParagraph"/>
        <w:numPr>
          <w:ilvl w:val="0"/>
          <w:numId w:val="1"/>
        </w:numPr>
        <w:spacing w:after="60"/>
      </w:pPr>
      <w:r>
        <w:t xml:space="preserve">2.5 GW additional module production line started Dec-2025 (Karnataka) -- already contributing to Q1 FY27 module production</w:t>
      </w:r>
    </w:p>
    <w:p>
      <w:pPr>
        <w:pStyle w:val="ListParagraph"/>
        <w:numPr>
          <w:ilvl w:val="0"/>
          <w:numId w:val="1"/>
        </w:numPr>
        <w:spacing w:after="60"/>
      </w:pPr>
      <w:r>
        <w:t xml:space="preserve">Emmvee Energy (subsidiary) won a 4.5 GWp TOPCon cell supply agreement with a domestic buyer -- order-book positive but adds customer-concentration exposure on that specific order</w:t>
      </w:r>
    </w:p>
    <w:p>
      <w:pPr>
        <w:pStyle w:val="ListParagraph"/>
        <w:numPr>
          <w:ilvl w:val="0"/>
          <w:numId w:val="1"/>
        </w:numPr>
        <w:spacing w:after="60"/>
      </w:pPr>
      <w:r>
        <w:t xml:space="preserve">6 GW integrated TOPCon module+cell facility (Rs 5,500 Cr, Rs 3,300 Cr tied debt at &lt;8%) on track: module line due Dec-2026, cell line Mar-2027, taking capacity to 16.3 GW module / 8.9 GW cell by 1H FY28</w:t>
      </w:r>
    </w:p>
    <w:p>
      <w:pPr>
        <w:pStyle w:val="ListParagraph"/>
        <w:numPr>
          <w:ilvl w:val="0"/>
          <w:numId w:val="1"/>
        </w:numPr>
        <w:spacing w:after="60"/>
      </w:pPr>
      <w:r>
        <w:t xml:space="preserve">Jefferies raised target price to Rs 440 (from Rs 400), lifting FY27/FY28 EBITDA estimates +2%/+7% and modelling 33% EBITDA CAGR to FY29 -- while explicitly flagging industry-wide capacity (151 GW cells / 217 GW modules by FY28E) as a margin-normalisation risk</w:t>
      </w:r>
    </w:p>
    <w:p>
      <w:pPr>
        <w:pStyle w:val="ListParagraph"/>
        <w:numPr>
          <w:ilvl w:val="0"/>
          <w:numId w:val="1"/>
        </w:numPr>
        <w:spacing w:after="60"/>
      </w:pPr>
      <w:r>
        <w:t xml:space="preserve">Rs ~7.68 Cr customs penalty received Mar-2026 (duty-benefit classification dispute) -- immaterial size, no operational impact disclosed</w:t>
      </w:r>
    </w:p>
    <w:p>
      <w:pPr>
        <w:spacing w:after="120"/>
      </w:pPr>
      <w:r>
        <w:rPr>
          <w:b/>
          <w:bCs/>
          <w:sz w:val="20"/>
          <w:szCs w:val="20"/>
        </w:rPr>
        <w:t xml:space="preserve">Key new facts vs. the prior write-up:</w:t>
      </w:r>
    </w:p>
    <w:p>
      <w:pPr>
        <w:pStyle w:val="ListParagraph"/>
        <w:numPr>
          <w:ilvl w:val="0"/>
          <w:numId w:val="1"/>
        </w:numPr>
        <w:spacing w:after="60"/>
      </w:pPr>
      <w:r>
        <w:t xml:space="preserve">Deleveraging is real and already executed (not just promised): debt down ~83% YoY, credit rating upgraded, interest coverage ~8.2x</w:t>
      </w:r>
    </w:p>
    <w:p>
      <w:pPr>
        <w:pStyle w:val="ListParagraph"/>
        <w:numPr>
          <w:ilvl w:val="0"/>
          <w:numId w:val="1"/>
        </w:numPr>
        <w:spacing w:after="60"/>
      </w:pPr>
      <w:r>
        <w:t xml:space="preserve">Even sell-side bulls (Jefferies) frame the setup as 'high-teens ROCE through-cycle,' not the current 45-56% -- i.e. the Street's own bull case still assumes material margin normalisation, corroborating the file's existing peak-margin thesis</w:t>
      </w:r>
    </w:p>
    <w:p>
      <w:pPr>
        <w:pStyle w:val="ListParagraph"/>
        <w:numPr>
          <w:ilvl w:val="0"/>
          <w:numId w:val="1"/>
        </w:numPr>
        <w:spacing w:after="60"/>
      </w:pPr>
      <w:r>
        <w:t xml:space="preserve">Growth is real and multi-sourced (2.5 GW line already live + 9.9 GW order book + a new 4.5 GW cell supply deal), not just the 6 GW facility promise</w:t>
      </w:r>
    </w:p>
    <w:p>
      <w:pPr>
        <w:pStyle w:val="ListParagraph"/>
        <w:numPr>
          <w:ilvl w:val="0"/>
          <w:numId w:val="1"/>
        </w:numPr>
        <w:spacing w:after="60"/>
      </w:pPr>
      <w:r>
        <w:t xml:space="preserve">No governance red flags found (no pledge, no auditor turnover, no SEBI action); the one blemish is a small customs penalty, immaterial in size</w:t>
      </w:r>
    </w:p>
    <w:p>
      <w:pPr>
        <w:spacing w:after="120"/>
      </w:pPr>
      <w:r>
        <w:rPr>
          <w:b/>
          <w:bCs/>
          <w:sz w:val="20"/>
          <w:szCs w:val="20"/>
        </w:rPr>
        <w:t xml:space="preserve">Open questions / what to watch:</w:t>
      </w:r>
    </w:p>
    <w:p>
      <w:pPr>
        <w:pStyle w:val="ListParagraph"/>
        <w:numPr>
          <w:ilvl w:val="0"/>
          <w:numId w:val="1"/>
        </w:numPr>
        <w:spacing w:after="60"/>
      </w:pPr>
      <w:r>
        <w:t xml:space="preserve">No RPT disclosure was reviewed in detail (only that an Integrated Filing exists) -- RPT trend left 'unclear'</w:t>
      </w:r>
    </w:p>
    <w:p>
      <w:pPr>
        <w:pStyle w:val="ListParagraph"/>
        <w:numPr>
          <w:ilvl w:val="0"/>
          <w:numId w:val="1"/>
        </w:numPr>
        <w:spacing w:after="60"/>
      </w:pPr>
      <w:r>
        <w:t xml:space="preserve">Module/cell ASP trend was not directly sourced this pass -- the single biggest swing factor (per earnings_chain) for whether margin normalisation is gradual or sharp</w:t>
      </w:r>
    </w:p>
    <w:p>
      <w:pPr>
        <w:pStyle w:val="ListParagraph"/>
        <w:numPr>
          <w:ilvl w:val="0"/>
          <w:numId w:val="1"/>
        </w:numPr>
        <w:spacing w:after="60"/>
      </w:pPr>
      <w:r>
        <w:t xml:space="preserve">Customer concentration on the new 4.5 GWp order not disclosed (single buyer named only generically as a 'domestic buyer')</w:t>
      </w:r>
    </w:p>
    <w:p>
      <w:pPr>
        <w:spacing w:after="120" w:before="120"/>
      </w:pPr>
      <w:r>
        <w:rPr>
          <w:b/>
          <w:bCs/>
          <w:sz w:val="20"/>
          <w:szCs w:val="20"/>
        </w:rPr>
        <w:t xml:space="preserve">Conviction impact: </w:t>
      </w:r>
      <w:r>
        <w:rPr>
          <w:sz w:val="20"/>
          <w:szCs w:val="20"/>
        </w:rPr>
        <w:t xml:space="preserve">Medium -&gt; Medium. Deep dive corroborates rather than changes the prior read: real, evidenced growth (order book, live capacity additions, executed deleveraging, rating upgrade) sits alongside a policy-driven margin peak that even the bullish sell-side case (Jefferies) expects to normalise toward high-teens ROCE. four_box score unchanged at 2.5 (tam/moat/valuation all still 'weak'); the un-ignorable-growth exception remains available but is again declined for the same reason -- a commoditising, industry-wide capacity build means the earnings base itself, not just the multiple, is what's overstated. thesis_fit stays 'neither', conviction stays 'Medium'.</w:t>
      </w:r>
    </w:p>
    <w:p>
      <w:pPr>
        <w:pStyle w:val="Heading1"/>
        <w:spacing w:after="120" w:before="280"/>
      </w:pPr>
      <w:r>
        <w:t xml:space="preserve">Guidance &amp; Expectation Gap</w:t>
      </w:r>
    </w:p>
    <w:p>
      <w:pPr>
        <w:spacing w:after="120"/>
      </w:pPr>
      <w:r>
        <w:rPr>
          <w:i/>
          <w:iCs/>
          <w:color w:val="666666"/>
          <w:sz w:val="18"/>
          <w:szCs w:val="18"/>
        </w:rPr>
        <w:t xml:space="preserve">Management guidance decoded into commitments, graded on the expectation → action → operational → commercial → financial ladder, then compared to what the current price appears to assume. Method: playbook/guidance-and-expectation-gap.md.</w:t>
      </w:r>
    </w:p>
    <w:p>
      <w:pPr>
        <w:spacing w:after="120"/>
      </w:pPr>
      <w:r>
        <w:rPr>
          <w:b/>
          <w:bCs/>
          <w:sz w:val="20"/>
          <w:szCs w:val="20"/>
        </w:rPr>
        <w:t xml:space="preserve">Commitment ladder (most-proven first):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400"/>
        <w:gridCol w:w="900"/>
        <w:gridCol w:w="1200"/>
        <w:gridCol w:w="800"/>
      </w:tblGrid>
      <w:tr>
        <w:trPr>
          <w:tblHeader/>
        </w:trPr>
        <w:tc>
          <w:tcPr>
            <w:tcW w:type="dxa" w:w="1100"/>
            <w:shd w:fill="F2F2F2" w:val="clear"/>
          </w:tcPr>
          <w:p>
            <w:r>
              <w:rPr>
                <w:b/>
                <w:bCs/>
                <w:sz w:val="18"/>
                <w:szCs w:val="18"/>
              </w:rPr>
              <w:t xml:space="preserve">Area</w:t>
            </w:r>
          </w:p>
        </w:tc>
        <w:tc>
          <w:tcPr>
            <w:tcW w:type="dxa" w:w="2600"/>
            <w:shd w:fill="F2F2F2" w:val="clear"/>
          </w:tcPr>
          <w:p>
            <w:r>
              <w:rPr>
                <w:b/>
                <w:bCs/>
                <w:sz w:val="18"/>
                <w:szCs w:val="18"/>
              </w:rPr>
              <w:t xml:space="preserve">Commitment</w:t>
            </w:r>
          </w:p>
        </w:tc>
        <w:tc>
          <w:tcPr>
            <w:tcW w:type="dxa" w:w="2400"/>
            <w:shd w:fill="F2F2F2" w:val="clear"/>
          </w:tcPr>
          <w:p>
            <w:r>
              <w:rPr>
                <w:b/>
                <w:bCs/>
                <w:sz w:val="18"/>
                <w:szCs w:val="18"/>
              </w:rPr>
              <w:t xml:space="preserve">Specifics</w:t>
            </w:r>
          </w:p>
        </w:tc>
        <w:tc>
          <w:tcPr>
            <w:tcW w:type="dxa" w:w="900"/>
            <w:shd w:fill="F2F2F2" w:val="clear"/>
          </w:tcPr>
          <w:p>
            <w:r>
              <w:rPr>
                <w:b/>
                <w:bCs/>
                <w:sz w:val="18"/>
                <w:szCs w:val="18"/>
              </w:rPr>
              <w:t xml:space="preserve">By when</w:t>
            </w:r>
          </w:p>
        </w:tc>
        <w:tc>
          <w:tcPr>
            <w:tcW w:type="dxa" w:w="1200"/>
            <w:shd w:fill="F2F2F2" w:val="clear"/>
          </w:tcPr>
          <w:p>
            <w:r>
              <w:rPr>
                <w:b/>
                <w:bCs/>
                <w:sz w:val="18"/>
                <w:szCs w:val="18"/>
              </w:rPr>
              <w:t xml:space="preserve">Stage</w:t>
            </w:r>
          </w:p>
        </w:tc>
        <w:tc>
          <w:tcPr>
            <w:tcW w:type="dxa" w:w="800"/>
            <w:shd w:fill="F2F2F2" w:val="clear"/>
          </w:tcPr>
          <w:p>
            <w:r>
              <w:rPr>
                <w:b/>
                <w:bCs/>
                <w:sz w:val="18"/>
                <w:szCs w:val="18"/>
              </w:rPr>
              <w:t xml:space="preserve">Thesis-critical</w:t>
            </w:r>
          </w:p>
        </w:tc>
      </w:tr>
      <w:tr>
        <w:tc>
          <w:tcPr>
            <w:tcW w:type="dxa" w:w="1100"/>
          </w:tcPr>
          <w:p>
            <w:r>
              <w:rPr>
                <w:b w:val="false"/>
                <w:bCs w:val="false"/>
                <w:sz w:val="18"/>
                <w:szCs w:val="18"/>
              </w:rPr>
              <w:t xml:space="preserve">orders</w:t>
            </w:r>
          </w:p>
        </w:tc>
        <w:tc>
          <w:tcPr>
            <w:tcW w:type="dxa" w:w="2600"/>
          </w:tcPr>
          <w:p>
            <w:r>
              <w:rPr>
                <w:b w:val="false"/>
                <w:bCs w:val="false"/>
                <w:sz w:val="18"/>
                <w:szCs w:val="18"/>
              </w:rPr>
              <w:t xml:space="preserve">4.5 GWp TOPCon cell supply agreement won by Emmvee Energy (subsidiary)</w:t>
            </w:r>
          </w:p>
        </w:tc>
        <w:tc>
          <w:tcPr>
            <w:tcW w:type="dxa" w:w="2400"/>
          </w:tcPr>
          <w:p>
            <w:r>
              <w:rPr>
                <w:b w:val="false"/>
                <w:bCs w:val="false"/>
                <w:sz w:val="18"/>
                <w:szCs w:val="18"/>
              </w:rPr>
              <w:t xml:space="preserve">large domestic buyer, multi-year execution</w:t>
            </w:r>
          </w:p>
        </w:tc>
        <w:tc>
          <w:tcPr>
            <w:tcW w:type="dxa" w:w="900"/>
          </w:tcPr>
          <w:p>
            <w:r>
              <w:rPr>
                <w:b w:val="false"/>
                <w:bCs w:val="false"/>
                <w:sz w:val="18"/>
                <w:szCs w:val="18"/>
              </w:rPr>
              <w:t xml:space="preserve">FY28</w:t>
            </w:r>
          </w:p>
        </w:tc>
        <w:tc>
          <w:tcPr>
            <w:tcW w:type="dxa" w:w="1200"/>
          </w:tcPr>
          <w:p>
            <w:r>
              <w:rPr>
                <w:b w:val="false"/>
                <w:bCs w:val="false"/>
                <w:sz w:val="18"/>
                <w:szCs w:val="18"/>
              </w:rPr>
              <w:t xml:space="preserve">commercial</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capacity</w:t>
            </w:r>
          </w:p>
        </w:tc>
        <w:tc>
          <w:tcPr>
            <w:tcW w:type="dxa" w:w="2600"/>
          </w:tcPr>
          <w:p>
            <w:r>
              <w:rPr>
                <w:b w:val="false"/>
                <w:bCs w:val="false"/>
                <w:sz w:val="18"/>
                <w:szCs w:val="18"/>
              </w:rPr>
              <w:t xml:space="preserve">6 GW integrated TOPCon module+cell facility</w:t>
            </w:r>
          </w:p>
        </w:tc>
        <w:tc>
          <w:tcPr>
            <w:tcW w:type="dxa" w:w="2400"/>
          </w:tcPr>
          <w:p>
            <w:r>
              <w:rPr>
                <w:b w:val="false"/>
                <w:bCs w:val="false"/>
                <w:sz w:val="18"/>
                <w:szCs w:val="18"/>
              </w:rPr>
              <w:t xml:space="preserve">Rs 5,500 Cr project cost, Rs 3,300 Cr tied debt at &lt;8%; module line by Dec-2026, cell line by Mar-2027, taking total capacity to 16.3 GW module / 8.9 GW cell</w:t>
            </w:r>
          </w:p>
        </w:tc>
        <w:tc>
          <w:tcPr>
            <w:tcW w:type="dxa" w:w="900"/>
          </w:tcPr>
          <w:p>
            <w:r>
              <w:rPr>
                <w:b w:val="false"/>
                <w:bCs w:val="false"/>
                <w:sz w:val="18"/>
                <w:szCs w:val="18"/>
              </w:rPr>
              <w:t xml:space="preserve">FY28</w:t>
            </w:r>
          </w:p>
        </w:tc>
        <w:tc>
          <w:tcPr>
            <w:tcW w:type="dxa" w:w="1200"/>
          </w:tcPr>
          <w:p>
            <w:r>
              <w:rPr>
                <w:b w:val="false"/>
                <w:bCs w:val="false"/>
                <w:sz w:val="18"/>
                <w:szCs w:val="18"/>
              </w:rPr>
              <w:t xml:space="preserve">operational</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margin</w:t>
            </w:r>
          </w:p>
        </w:tc>
        <w:tc>
          <w:tcPr>
            <w:tcW w:type="dxa" w:w="2600"/>
          </w:tcPr>
          <w:p>
            <w:r>
              <w:rPr>
                <w:b w:val="false"/>
                <w:bCs w:val="false"/>
                <w:sz w:val="18"/>
                <w:szCs w:val="18"/>
              </w:rPr>
              <w:t xml:space="preserve">Management/sell-side expect sustained high-teens ROCE through-cycle despite industry capacity build</w:t>
            </w:r>
          </w:p>
        </w:tc>
        <w:tc>
          <w:tcPr>
            <w:tcW w:type="dxa" w:w="2400"/>
          </w:tcPr>
          <w:p>
            <w:r>
              <w:rPr>
                <w:b w:val="false"/>
                <w:bCs w:val="false"/>
                <w:sz w:val="18"/>
                <w:szCs w:val="18"/>
              </w:rPr>
              <w:t xml:space="preserve">Jefferies models 33% EBITDA CAGR to FY29 even after assuming normalisation</w:t>
            </w:r>
          </w:p>
        </w:tc>
        <w:tc>
          <w:tcPr>
            <w:tcW w:type="dxa" w:w="900"/>
          </w:tcPr>
          <w:p>
            <w:r>
              <w:rPr>
                <w:b w:val="false"/>
                <w:bCs w:val="false"/>
                <w:sz w:val="18"/>
                <w:szCs w:val="18"/>
              </w:rPr>
              <w:t xml:space="preserve">FY28</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capacity</w:t>
            </w:r>
          </w:p>
        </w:tc>
        <w:tc>
          <w:tcPr>
            <w:tcW w:type="dxa" w:w="2600"/>
          </w:tcPr>
          <w:p>
            <w:r>
              <w:rPr>
                <w:b w:val="false"/>
                <w:bCs w:val="false"/>
                <w:sz w:val="18"/>
                <w:szCs w:val="18"/>
              </w:rPr>
              <w:t xml:space="preserve">2.5 GW additional module line ramp</w:t>
            </w:r>
          </w:p>
        </w:tc>
        <w:tc>
          <w:tcPr>
            <w:tcW w:type="dxa" w:w="2400"/>
          </w:tcPr>
          <w:p>
            <w:r>
              <w:rPr>
                <w:b w:val="false"/>
                <w:bCs w:val="false"/>
                <w:sz w:val="18"/>
                <w:szCs w:val="18"/>
              </w:rPr>
              <w:t xml:space="preserve">started production Dec-2025 in Karnataka; already contributing to Q1 FY27 module output (+53% YoY)</w:t>
            </w:r>
          </w:p>
        </w:tc>
        <w:tc>
          <w:tcPr>
            <w:tcW w:type="dxa" w:w="900"/>
          </w:tcPr>
          <w:p>
            <w:r>
              <w:rPr>
                <w:b w:val="false"/>
                <w:bCs w:val="false"/>
                <w:sz w:val="18"/>
                <w:szCs w:val="18"/>
              </w:rPr>
              <w:t xml:space="preserve">6M</w:t>
            </w:r>
          </w:p>
        </w:tc>
        <w:tc>
          <w:tcPr>
            <w:tcW w:type="dxa" w:w="1200"/>
          </w:tcPr>
          <w:p>
            <w:r>
              <w:rPr>
                <w:b w:val="false"/>
                <w:bCs w:val="false"/>
                <w:sz w:val="18"/>
                <w:szCs w:val="18"/>
              </w:rPr>
              <w:t xml:space="preserve">financial</w:t>
            </w:r>
          </w:p>
        </w:tc>
        <w:tc>
          <w:tcPr>
            <w:tcW w:type="dxa" w:w="800"/>
          </w:tcPr>
          <w:p>
            <w:r>
              <w:rPr>
                <w:b w:val="false"/>
                <w:bCs w:val="false"/>
                <w:sz w:val="18"/>
                <w:szCs w:val="18"/>
              </w:rPr>
              <w:t xml:space="preserve"/>
            </w:r>
          </w:p>
        </w:tc>
      </w:tr>
    </w:tbl>
    <w:p>
      <w:pPr>
        <w:spacing w:after="60" w:before="120"/>
      </w:pPr>
      <w:r>
        <w:rPr>
          <w:b/>
          <w:bCs/>
          <w:sz w:val="20"/>
          <w:szCs w:val="20"/>
        </w:rPr>
        <w:t xml:space="preserve">Earnings chain: </w:t>
      </w:r>
      <w:r>
        <w:rPr>
          <w:b w:val="false"/>
          <w:bCs w:val="false"/>
          <w:sz w:val="20"/>
          <w:szCs w:val="20"/>
        </w:rPr>
        <w:t xml:space="preserve">ALMM List-II protected domestic demand</w:t>
      </w:r>
      <w:r>
        <w:rPr>
          <w:color w:val="666666"/>
          <w:sz w:val="20"/>
          <w:szCs w:val="20"/>
        </w:rPr>
        <w:t xml:space="preserve"> → </w:t>
      </w:r>
      <w:r>
        <w:rPr>
          <w:b w:val="false"/>
          <w:bCs w:val="false"/>
          <w:sz w:val="20"/>
          <w:szCs w:val="20"/>
        </w:rPr>
        <w:t xml:space="preserve">order book conversion (9.9 GW)</w:t>
      </w:r>
      <w:r>
        <w:rPr>
          <w:color w:val="666666"/>
          <w:sz w:val="20"/>
          <w:szCs w:val="20"/>
        </w:rPr>
        <w:t xml:space="preserve"> → </w:t>
      </w:r>
      <w:r>
        <w:rPr>
          <w:b w:val="false"/>
          <w:bCs w:val="false"/>
          <w:sz w:val="20"/>
          <w:szCs w:val="20"/>
        </w:rPr>
        <w:t xml:space="preserve">capacity ramp (2.5 GW module line live + 6 GW integrated TOPCon facility by FY28)</w:t>
      </w:r>
      <w:r>
        <w:rPr>
          <w:color w:val="666666"/>
          <w:sz w:val="20"/>
          <w:szCs w:val="20"/>
        </w:rPr>
        <w:t xml:space="preserve"> → </w:t>
      </w:r>
      <w:r>
        <w:rPr>
          <w:b w:val="false"/>
          <w:bCs w:val="false"/>
          <w:sz w:val="20"/>
          <w:szCs w:val="20"/>
        </w:rPr>
        <w:t xml:space="preserve">module/cell ASP holding up</w:t>
      </w:r>
      <w:r>
        <w:rPr>
          <w:color w:val="666666"/>
          <w:sz w:val="20"/>
          <w:szCs w:val="20"/>
        </w:rPr>
        <w:t xml:space="preserve"> → </w:t>
      </w:r>
      <w:r>
        <w:rPr>
          <w:b w:val="false"/>
          <w:bCs w:val="false"/>
          <w:sz w:val="20"/>
          <w:szCs w:val="20"/>
        </w:rPr>
        <w:t xml:space="preserve">EBITDA margin (35% peak)</w:t>
      </w:r>
      <w:r>
        <w:rPr>
          <w:color w:val="666666"/>
          <w:sz w:val="20"/>
          <w:szCs w:val="20"/>
        </w:rPr>
        <w:t xml:space="preserve"> → </w:t>
      </w:r>
      <w:r>
        <w:rPr>
          <w:b w:val="false"/>
          <w:bCs w:val="false"/>
          <w:sz w:val="20"/>
          <w:szCs w:val="20"/>
        </w:rPr>
        <w:t xml:space="preserve">PAT</w:t>
      </w:r>
    </w:p>
    <w:p>
      <w:pPr>
        <w:spacing w:after="120"/>
      </w:pPr>
      <w:r>
        <w:rPr>
          <w:color w:val="666666"/>
          <w:sz w:val="18"/>
          <w:szCs w:val="18"/>
        </w:rPr>
        <w:t xml:space="preserve">Bottleneck link: module/cell ASP holding up as industry-wide capacity comes online.</w:t>
      </w:r>
    </w:p>
    <w:p>
      <w:pPr>
        <w:spacing w:after="120"/>
      </w:pPr>
      <w:r>
        <w:rPr>
          <w:color w:val="666666"/>
          <w:sz w:val="18"/>
          <w:szCs w:val="18"/>
        </w:rPr>
        <w:t xml:space="preserve">Operating leverage: yes — cell utilisation already at 83% and rising; further volume growth still has some fixed-cost leverage left, but ASP/margin is the swing factor, not volume</w:t>
      </w:r>
    </w:p>
    <w:p>
      <w:pPr>
        <w:spacing w:after="120"/>
      </w:pPr>
      <w:r>
        <w:rPr>
          <w:color w:val="666666"/>
          <w:sz w:val="18"/>
          <w:szCs w:val="18"/>
        </w:rPr>
        <w:t xml:space="preserve">Evidenced: ALMM List-II protected domestic demand; order book conversion (9.9 GW); capacity ramp (2.5 GW module line live). Still assumed: module/cell ASP holding up; EBITDA margin (35% peak) sustaining.</w:t>
      </w:r>
    </w:p>
    <w:p>
      <w:pPr>
        <w:spacing w:after="120"/>
      </w:pPr>
      <w:r>
        <w:rPr>
          <w:b/>
          <w:bCs/>
          <w:sz w:val="20"/>
          <w:szCs w:val="20"/>
        </w:rPr>
        <w:t xml:space="preserve">Market expectation vs. our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 of</w:t>
            </w:r>
          </w:p>
        </w:tc>
        <w:tc>
          <w:tcPr>
            <w:tcW w:type="dxa" w:w="5800"/>
          </w:tcPr>
          <w:p>
            <w:r>
              <w:t xml:space="preserve">2026-09-18</w:t>
            </w:r>
          </w:p>
        </w:tc>
      </w:tr>
      <w:tr>
        <w:tc>
          <w:tcPr>
            <w:tcW w:type="dxa" w:w="3200"/>
            <w:shd w:fill="F2F2F2" w:val="clear"/>
          </w:tcPr>
          <w:p>
            <w:r>
              <w:rPr>
                <w:b/>
                <w:bCs/>
              </w:rPr>
              <w:t xml:space="preserve">Price / multiple</w:t>
            </w:r>
          </w:p>
        </w:tc>
        <w:tc>
          <w:tcPr>
            <w:tcW w:type="dxa" w:w="5800"/>
          </w:tcPr>
          <w:p>
            <w:r>
              <w:t xml:space="preserve">Rs 328 · 17.8x P/E</w:t>
            </w:r>
          </w:p>
        </w:tc>
      </w:tr>
      <w:tr>
        <w:tc>
          <w:tcPr>
            <w:tcW w:type="dxa" w:w="3200"/>
            <w:shd w:fill="F2F2F2" w:val="clear"/>
          </w:tcPr>
          <w:p>
            <w:r>
              <w:rPr>
                <w:b/>
                <w:bCs/>
              </w:rPr>
              <w:t xml:space="preserve">Right valuation lens</w:t>
            </w:r>
          </w:p>
        </w:tc>
        <w:tc>
          <w:tcPr>
            <w:tcW w:type="dxa" w:w="5800"/>
          </w:tcPr>
          <w:p>
            <w:r>
              <w:t xml:space="preserve">P/E</w:t>
            </w:r>
          </w:p>
        </w:tc>
      </w:tr>
      <w:tr>
        <w:tc>
          <w:tcPr>
            <w:tcW w:type="dxa" w:w="3200"/>
            <w:shd w:fill="F2F2F2" w:val="clear"/>
          </w:tcPr>
          <w:p>
            <w:r>
              <w:rPr>
                <w:b/>
                <w:bCs/>
              </w:rPr>
              <w:t xml:space="preserve">Price implies</w:t>
            </w:r>
          </w:p>
        </w:tc>
        <w:tc>
          <w:tcPr>
            <w:tcW w:type="dxa" w:w="5800"/>
          </w:tcPr>
          <w:p>
            <w:r>
              <w:t xml:space="preserve">~17.8x trailing P/E on a policy-super-cycle peak PAT base implies the market is NOT extrapolating the earnings base forward at face value -- a fair multiple for a normalising cyclical is ~12-15x, so the current multiple needs either continued high-30s EBITDA margins for several more years, or enough volume growth to offset margin normalisation</w:t>
            </w:r>
          </w:p>
        </w:tc>
      </w:tr>
      <w:tr>
        <w:tc>
          <w:tcPr>
            <w:tcW w:type="dxa" w:w="3200"/>
            <w:shd w:fill="F2F2F2" w:val="clear"/>
          </w:tcPr>
          <w:p>
            <w:r>
              <w:rPr>
                <w:b/>
                <w:bCs/>
              </w:rPr>
              <w:t xml:space="preserve">Our FY27</w:t>
            </w:r>
          </w:p>
        </w:tc>
        <w:tc>
          <w:tcPr>
            <w:tcW w:type="dxa" w:w="5800"/>
          </w:tcPr>
          <w:p>
            <w:r>
              <w:t xml:space="preserve">Revenue growth continues (2.5 GW module line ramp + 9.9 GW order book + new 4.5 GWp cell deal), but EBITDA margin likely drifts down from the 35% Q1 FY27 peak as ALMM-protected pricing gets contested by new domestic cell capacity</w:t>
            </w:r>
          </w:p>
        </w:tc>
      </w:tr>
      <w:tr>
        <w:tc>
          <w:tcPr>
            <w:tcW w:type="dxa" w:w="3200"/>
            <w:shd w:fill="F2F2F2" w:val="clear"/>
          </w:tcPr>
          <w:p>
            <w:r>
              <w:rPr>
                <w:b/>
                <w:bCs/>
              </w:rPr>
              <w:t xml:space="preserve">Our FY28</w:t>
            </w:r>
          </w:p>
        </w:tc>
        <w:tc>
          <w:tcPr>
            <w:tcW w:type="dxa" w:w="5800"/>
          </w:tcPr>
          <w:p>
            <w:r>
              <w:t xml:space="preserve">6 GW integrated facility (full ramp by 1H FY28) adds volume, but industry-wide cell capacity (151 GW by FY28E per Jefferies) is the dominant swing factor -- base case is margin normalisation toward high-teens EBITDA/ROCE, still profitable but well off the FY26 peak</w:t>
            </w:r>
          </w:p>
        </w:tc>
      </w:tr>
      <w:tr>
        <w:tc>
          <w:tcPr>
            <w:tcW w:type="dxa" w:w="3200"/>
            <w:shd w:fill="F2F2F2" w:val="clear"/>
          </w:tcPr>
          <w:p>
            <w:r>
              <w:rPr>
                <w:b/>
                <w:bCs/>
              </w:rPr>
              <w:t xml:space="preserve">Gap direction</w:t>
            </w:r>
          </w:p>
        </w:tc>
        <w:tc>
          <w:tcPr>
            <w:tcW w:type="dxa" w:w="5800"/>
          </w:tcPr>
          <w:p>
            <w:r>
              <w:t xml:space="preserve">over-optimistic</w:t>
            </w:r>
          </w:p>
        </w:tc>
      </w:tr>
      <w:tr>
        <w:tc>
          <w:tcPr>
            <w:tcW w:type="dxa" w:w="3200"/>
            <w:shd w:fill="F2F2F2" w:val="clear"/>
          </w:tcPr>
          <w:p>
            <w:r>
              <w:rPr>
                <w:b/>
                <w:bCs/>
              </w:rPr>
              <w:t xml:space="preserve">Gap type</w:t>
            </w:r>
          </w:p>
        </w:tc>
        <w:tc>
          <w:tcPr>
            <w:tcW w:type="dxa" w:w="5800"/>
          </w:tcPr>
          <w:p>
            <w:r>
              <w:t xml:space="preserve">margin</w:t>
            </w:r>
          </w:p>
        </w:tc>
      </w:tr>
      <w:tr>
        <w:tc>
          <w:tcPr>
            <w:tcW w:type="dxa" w:w="3200"/>
            <w:shd w:fill="F2F2F2" w:val="clear"/>
          </w:tcPr>
          <w:p>
            <w:r>
              <w:rPr>
                <w:b/>
                <w:bCs/>
              </w:rPr>
              <w:t xml:space="preserve">Gap magnitude</w:t>
            </w:r>
          </w:p>
        </w:tc>
        <w:tc>
          <w:tcPr>
            <w:tcW w:type="dxa" w:w="5800"/>
          </w:tcPr>
          <w:p>
            <w:r>
              <w:t xml:space="preserve">not estimable</w:t>
            </w:r>
          </w:p>
        </w:tc>
      </w:tr>
      <w:tr>
        <w:tc>
          <w:tcPr>
            <w:tcW w:type="dxa" w:w="3200"/>
            <w:shd w:fill="F2F2F2" w:val="clear"/>
          </w:tcPr>
          <w:p>
            <w:r>
              <w:rPr>
                <w:b/>
                <w:bCs/>
              </w:rPr>
              <w:t xml:space="preserve">Gap basis</w:t>
            </w:r>
          </w:p>
        </w:tc>
        <w:tc>
          <w:tcPr>
            <w:tcW w:type="dxa" w:w="5800"/>
          </w:tcPr>
          <w:p>
            <w:r>
              <w:t xml:space="preserve">Even the bullish sell-side case (Jefferies, Buy, Rs 440 target) explicitly models margin normalisation and still only gets to 'high-teens ROCE through-cycle' -- our own base case is that the current ~18x multiple already needs peak-like margins to persist longer than the industry capacity build makes likely</w:t>
            </w:r>
          </w:p>
        </w:tc>
      </w:tr>
      <w:tr>
        <w:tc>
          <w:tcPr>
            <w:tcW w:type="dxa" w:w="3200"/>
            <w:shd w:fill="F2F2F2" w:val="clear"/>
          </w:tcPr>
          <w:p>
            <w:r>
              <w:rPr>
                <w:b/>
                <w:bCs/>
              </w:rPr>
              <w:t xml:space="preserve">Evidence quality</w:t>
            </w:r>
          </w:p>
        </w:tc>
        <w:tc>
          <w:tcPr>
            <w:tcW w:type="dxa" w:w="5800"/>
          </w:tcPr>
          <w:p>
            <w:r>
              <w:t xml:space="preserve">strong</w:t>
            </w:r>
          </w:p>
        </w:tc>
      </w:tr>
    </w:tbl>
    <w:p>
      <w:pPr>
        <w:spacing w:after="120"/>
      </w:pPr>
      <w:r>
        <w:rPr>
          <w:i/>
          <w:iCs/>
          <w:color w:val="666666"/>
          <w:sz w:val="16"/>
          <w:szCs w:val="16"/>
        </w:rPr>
        <w:t xml:space="preserve">no broker consensus; implied path is a reverse-P/E estimate + screener.in forward figures + VP thread view</w:t>
      </w:r>
    </w:p>
    <w:p>
      <w:pPr>
        <w:spacing w:after="120" w:before="120"/>
      </w:pPr>
      <w:r>
        <w:rPr>
          <w:b/>
          <w:bCs/>
          <w:sz w:val="20"/>
          <w:szCs w:val="20"/>
        </w:rPr>
        <w:t xml:space="preserve">Catalyst: </w:t>
      </w:r>
      <w:r>
        <w:rPr>
          <w:sz w:val="20"/>
          <w:szCs w:val="20"/>
        </w:rPr>
        <w:t xml:space="preserve">6 GW integrated TOPCon module line commissioning (Dec-2026) and first cell-line ramp quarter (Mar-2027), plus any visible module/cell ASP softening as industry-wide capacity comes online</w:t>
      </w:r>
      <w:r>
        <w:rPr>
          <w:color w:val="666666"/>
          <w:sz w:val="18"/>
          <w:szCs w:val="18"/>
        </w:rPr>
        <w:t xml:space="preserve"> (window ~15M from 2026-09-18; dated; evidence med; pending)</w:t>
      </w:r>
    </w:p>
    <w:p>
      <w:pPr>
        <w:pStyle w:val="Heading1"/>
        <w:spacing w:after="120" w:before="280"/>
      </w:pPr>
      <w:r>
        <w:t xml:space="preserve">Ishmohit-Lens Checks (value chain · earnings quality · growth trajectory · management · quality metrics · track record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Value chain &amp; supply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Theme</w:t>
            </w:r>
          </w:p>
        </w:tc>
        <w:tc>
          <w:tcPr>
            <w:tcW w:type="dxa" w:w="5800"/>
          </w:tcPr>
          <w:p>
            <w:r>
              <w:t xml:space="preserve">India solar manufacturing -- domestic content (ALMM / DCR / PLI)</w:t>
            </w:r>
          </w:p>
        </w:tc>
      </w:tr>
      <w:tr>
        <w:tc>
          <w:tcPr>
            <w:tcW w:type="dxa" w:w="3200"/>
            <w:shd w:fill="F2F2F2" w:val="clear"/>
          </w:tcPr>
          <w:p>
            <w:r>
              <w:rPr>
                <w:b/>
                <w:bCs/>
              </w:rPr>
              <w:t xml:space="preserve">This company's position</w:t>
            </w:r>
          </w:p>
        </w:tc>
        <w:tc>
          <w:tcPr>
            <w:tcW w:type="dxa" w:w="5800"/>
          </w:tcPr>
          <w:p>
            <w:r>
              <w:t xml:space="preserve">integrated TOPCon solar cell + module manufacturer (one of ~2 pure-play integrated Indian players by capacity)</w:t>
            </w:r>
          </w:p>
        </w:tc>
      </w:tr>
      <w:tr>
        <w:tc>
          <w:tcPr>
            <w:tcW w:type="dxa" w:w="3200"/>
            <w:shd w:fill="F2F2F2" w:val="clear"/>
          </w:tcPr>
          <w:p>
            <w:r>
              <w:rPr>
                <w:b/>
                <w:bCs/>
              </w:rPr>
              <w:t xml:space="preserve">Bottleneck node (pricing power)</w:t>
            </w:r>
          </w:p>
        </w:tc>
        <w:tc>
          <w:tcPr>
            <w:tcW w:type="dxa" w:w="5800"/>
          </w:tcPr>
          <w:p>
            <w:r>
              <w:t xml:space="preserve">domestic solar cell capacity (ALMM List-II mandate) -- currently short, being filled fast</w:t>
            </w:r>
          </w:p>
        </w:tc>
      </w:tr>
      <w:tr>
        <w:tc>
          <w:tcPr>
            <w:tcW w:type="dxa" w:w="3200"/>
            <w:shd w:fill="F2F2F2" w:val="clear"/>
          </w:tcPr>
          <w:p>
            <w:r>
              <w:rPr>
                <w:b/>
                <w:bCs/>
              </w:rPr>
              <w:t xml:space="preserve">Supply-side status</w:t>
            </w:r>
          </w:p>
        </w:tc>
        <w:tc>
          <w:tcPr>
            <w:tcW w:type="dxa" w:w="5800"/>
          </w:tcPr>
          <w:p>
            <w:r>
              <w:t xml:space="preserve">adding</w:t>
            </w:r>
          </w:p>
        </w:tc>
      </w:tr>
      <w:tr>
        <w:tc>
          <w:tcPr>
            <w:tcW w:type="dxa" w:w="3200"/>
            <w:shd w:fill="F2F2F2" w:val="clear"/>
          </w:tcPr>
          <w:p>
            <w:r>
              <w:rPr>
                <w:b/>
                <w:bCs/>
              </w:rPr>
              <w:t xml:space="preserve">Adjacent-node peers</w:t>
            </w:r>
          </w:p>
        </w:tc>
        <w:tc>
          <w:tcPr>
            <w:tcW w:type="dxa" w:w="5800"/>
          </w:tcPr>
          <w:p>
            <w:r>
              <w:t xml:space="preserve">Premier Energies, Waaree Energies, Websol Energy, Adani Solar (unlisted)</w:t>
            </w:r>
          </w:p>
        </w:tc>
      </w:tr>
    </w:tbl>
    <w:p>
      <w:pPr>
        <w:spacing w:after="120"/>
      </w:pPr>
      <w:r>
        <w:rPr>
          <w:color w:val="666666"/>
          <w:sz w:val="18"/>
          <w:szCs w:val="18"/>
        </w:rPr>
        <w:t xml:space="preserve">Capital-cycle read: supply-side 'adding' across every major player = late-cycle glut risk. The protected demand pool is real today, but the entire industry is racing to add integrated cell capacity, which is what normalises the current peak margins.</w:t>
      </w:r>
    </w:p>
    <w:p>
      <w:pPr>
        <w:spacing w:after="60" w:before="120"/>
      </w:pPr>
      <w:r>
        <w:rPr>
          <w:b/>
          <w:bCs/>
          <w:sz w:val="20"/>
          <w:szCs w:val="20"/>
        </w:rPr>
        <w:t xml:space="preserve">Earnings quality: </w:t>
      </w:r>
      <w:r>
        <w:rPr>
          <w:sz w:val="20"/>
          <w:szCs w:val="20"/>
        </w:rPr>
        <w:t xml:space="preserve">margin driver cyclical</w:t>
      </w:r>
      <w:r>
        <w:rPr>
          <w:b/>
          <w:bCs/>
          <w:color w:val="A32020"/>
          <w:sz w:val="20"/>
          <w:szCs w:val="20"/>
        </w:rPr>
        <w:t xml:space="preserve">  — PEAK-MARGIN RISK: do not capitalise current margins</w:t>
      </w:r>
    </w:p>
    <w:p>
      <w:pPr>
        <w:spacing w:after="120"/>
      </w:pPr>
      <w:r>
        <w:rPr>
          <w:color w:val="666666"/>
          <w:sz w:val="18"/>
          <w:szCs w:val="18"/>
        </w:rPr>
        <w:t xml:space="preserve">Drivers: ALMM List-II domestic-content policy protection (temporary until industry capacity catches up); TOPCon technology price premium vs conventional modules; high cell utilisation (83% in Q1 FY27) giving operating leverage.</w:t>
      </w:r>
    </w:p>
    <w:p>
      <w:pPr>
        <w:spacing w:after="120"/>
      </w:pPr>
      <w:r>
        <w:rPr>
          <w:color w:val="666666"/>
          <w:sz w:val="18"/>
          <w:szCs w:val="18"/>
        </w:rPr>
        <w:t xml:space="preserve">Even Jefferies' own Buy case expects margin normalisation as industry-wide integrated cell capacity (151 GW by FY28E) comes online, landing at 'high-teens ROCE through-cycle' rather than the current 45-56%. The 35% EBITDA margin is well above what generic module assembly earned pre-ALMM and is not a defensible through-cycle level.</w:t>
      </w:r>
    </w:p>
    <w:p>
      <w:pPr>
        <w:spacing w:after="60" w:before="120"/>
      </w:pPr>
      <w:r>
        <w:rPr>
          <w:b/>
          <w:bCs/>
          <w:sz w:val="20"/>
          <w:szCs w:val="20"/>
        </w:rPr>
        <w:t xml:space="preserve">Growth trajectory: </w:t>
      </w:r>
      <w:r>
        <w:rPr>
          <w:b/>
          <w:bCs/>
          <w:color w:val="A32020"/>
          <w:sz w:val="20"/>
          <w:szCs w:val="20"/>
        </w:rPr>
        <w:t xml:space="preserve">YoY growth rate is decelerating</w:t>
      </w:r>
    </w:p>
    <w:p>
      <w:pPr>
        <w:spacing w:after="120"/>
      </w:pPr>
      <w:r>
        <w:rPr>
          <w:color w:val="666666"/>
          <w:sz w:val="18"/>
          <w:szCs w:val="18"/>
        </w:rPr>
        <w:t xml:space="preserve">Revenue YoY: FY25 total income +147%; Q1 FY27 +51%. PAT YoY: Q1 FY27 +103% (still very strong, but off an ever-higher base — FY26 full-year PAT growth itself was ~116% on the file's track-record read). The growth RATE is decelerating even as absolute earnings keep climbing — consistent with a policy-driven super-cycle maturing, not yet cracking.</w:t>
      </w:r>
    </w:p>
    <w:p>
      <w:pPr>
        <w:spacing w:after="120"/>
      </w:pPr>
      <w:r>
        <w:rPr>
          <w:color w:val="666666"/>
          <w:sz w:val="18"/>
          <w:szCs w:val="18"/>
        </w:rPr>
        <w:t xml:space="preserve">Reverse P/E: ~18x trailing P/E is optically low for a business compounding at 50-100%+, but the rate is normalising toward still-strong-but-lower growth; the multiple likely already reflects the market pricing some margin (not volume) normalisation.</w:t>
      </w:r>
    </w:p>
    <w:p>
      <w:pPr>
        <w:spacing w:after="120"/>
      </w:pPr>
      <w:r>
        <w:rPr>
          <w:b/>
          <w:bCs/>
          <w:sz w:val="20"/>
          <w:szCs w:val="20"/>
        </w:rPr>
        <w:t xml:space="preserve">Management quality (TVGP's "P"):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positive</w:t>
            </w:r>
          </w:p>
        </w:tc>
      </w:tr>
      <w:tr>
        <w:tc>
          <w:tcPr>
            <w:tcW w:type="dxa" w:w="3200"/>
            <w:shd w:fill="F2F2F2" w:val="clear"/>
          </w:tcPr>
          <w:p>
            <w:r>
              <w:rPr>
                <w:b/>
                <w:bCs/>
              </w:rPr>
              <w:t xml:space="preserve">Capital allocation</w:t>
            </w:r>
          </w:p>
        </w:tc>
        <w:tc>
          <w:tcPr>
            <w:tcW w:type="dxa" w:w="5800"/>
          </w:tcPr>
          <w:p>
            <w:r>
              <w:t xml:space="preserve">IPO proceeds (Rs 1,621 Cr) used to prepay term loans rather than distributed or diversified; reinvesting into the 6 GW integrated capacity expansion (Rs 5,500 Cr project, Rs 3,300 Cr tied debt at &lt;8%) at a company-wide ROCE of ~45%; no unrelated diversification observed. (disciplined)</w:t>
            </w:r>
          </w:p>
        </w:tc>
      </w:tr>
      <w:tr>
        <w:tc>
          <w:tcPr>
            <w:tcW w:type="dxa" w:w="3200"/>
            <w:shd w:fill="F2F2F2" w:val="clear"/>
          </w:tcPr>
          <w:p>
            <w:r>
              <w:rPr>
                <w:b/>
                <w:bCs/>
              </w:rPr>
              <w:t xml:space="preserve">Related-party trend</w:t>
            </w:r>
          </w:p>
        </w:tc>
        <w:tc>
          <w:tcPr>
            <w:tcW w:type="dxa" w:w="5800"/>
          </w:tcPr>
          <w:p>
            <w:r>
              <w:t xml:space="preserve">unclear</w:t>
            </w:r>
          </w:p>
        </w:tc>
      </w:tr>
      <w:tr>
        <w:tc>
          <w:tcPr>
            <w:tcW w:type="dxa" w:w="3200"/>
            <w:shd w:fill="F2F2F2" w:val="clear"/>
          </w:tcPr>
          <w:p>
            <w:r>
              <w:rPr>
                <w:b/>
                <w:bCs/>
              </w:rPr>
              <w:t xml:space="preserve">Guidance credibility</w:t>
            </w:r>
          </w:p>
        </w:tc>
        <w:tc>
          <w:tcPr>
            <w:tcW w:type="dxa" w:w="5800"/>
          </w:tcPr>
          <w:p>
            <w:r>
              <w:t xml:space="preserve">no-track-record</w:t>
            </w:r>
          </w:p>
        </w:tc>
      </w:tr>
      <w:tr>
        <w:tc>
          <w:tcPr>
            <w:tcW w:type="dxa" w:w="3200"/>
            <w:shd w:fill="F2F2F2" w:val="clear"/>
          </w:tcPr>
          <w:p>
            <w:r>
              <w:rPr>
                <w:b/>
                <w:bCs/>
              </w:rPr>
              <w:t xml:space="preserve">Shareholder returns</w:t>
            </w:r>
          </w:p>
        </w:tc>
        <w:tc>
          <w:tcPr>
            <w:tcW w:type="dxa" w:w="5800"/>
          </w:tcPr>
          <w:p>
            <w:r>
              <w:t xml:space="preserve">none</w:t>
            </w:r>
          </w:p>
        </w:tc>
      </w:tr>
      <w:tr>
        <w:tc>
          <w:tcPr>
            <w:tcW w:type="dxa" w:w="3200"/>
            <w:shd w:fill="F2F2F2" w:val="clear"/>
          </w:tcPr>
          <w:p>
            <w:r>
              <w:rPr>
                <w:b/>
                <w:bCs/>
              </w:rPr>
              <w:t xml:space="preserve">Capability ladder / VAP</w:t>
            </w:r>
          </w:p>
        </w:tc>
        <w:tc>
          <w:tcPr>
            <w:tcW w:type="dxa" w:w="5800"/>
          </w:tcPr>
          <w:p>
            <w:r>
              <w:t xml:space="preserve">Explicit progression from solar water heaters -&gt; modules -&gt; integrated cells -&gt; TOPCon cells, and from 2.94 GW to 8.9 GW cell capacity by FY28 -- moving up the technology/value curve within solar manufacturing.</w:t>
            </w:r>
          </w:p>
        </w:tc>
      </w:tr>
    </w:tbl>
    <w:p>
      <w:pPr>
        <w:spacing w:after="120"/>
      </w:pPr>
      <w:r>
        <w:rPr>
          <w:b/>
          <w:bCs/>
          <w:sz w:val="20"/>
          <w:szCs w:val="20"/>
        </w:rPr>
        <w:t xml:space="preserve">Quality metrics (ROCE · debt · FCF · margin · capex):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neutral</w:t>
            </w:r>
          </w:p>
        </w:tc>
      </w:tr>
      <w:tr>
        <w:tc>
          <w:tcPr>
            <w:tcW w:type="dxa" w:w="3200"/>
            <w:shd w:fill="F2F2F2" w:val="clear"/>
          </w:tcPr>
          <w:p>
            <w:r>
              <w:rPr>
                <w:b/>
                <w:bCs/>
              </w:rPr>
              <w:t xml:space="preserve">ROCE</w:t>
            </w:r>
          </w:p>
        </w:tc>
        <w:tc>
          <w:tcPr>
            <w:tcW w:type="dxa" w:w="5800"/>
          </w:tcPr>
          <w:p>
            <w:r>
              <w:t xml:space="preserve">45% (improving)</w:t>
            </w:r>
          </w:p>
        </w:tc>
      </w:tr>
      <w:tr>
        <w:tc>
          <w:tcPr>
            <w:tcW w:type="dxa" w:w="3200"/>
            <w:shd w:fill="F2F2F2" w:val="clear"/>
          </w:tcPr>
          <w:p>
            <w:r>
              <w:rPr>
                <w:b/>
                <w:bCs/>
              </w:rPr>
              <w:t xml:space="preserve">Leverage</w:t>
            </w:r>
          </w:p>
        </w:tc>
        <w:tc>
          <w:tcPr>
            <w:tcW w:type="dxa" w:w="5800"/>
          </w:tcPr>
          <w:p>
            <w:r>
              <w:t xml:space="preserve">Net debt/EBITDA 0.2x</w:t>
            </w:r>
          </w:p>
        </w:tc>
      </w:tr>
      <w:tr>
        <w:tc>
          <w:tcPr>
            <w:tcW w:type="dxa" w:w="3200"/>
            <w:shd w:fill="F2F2F2" w:val="clear"/>
          </w:tcPr>
          <w:p>
            <w:r>
              <w:rPr>
                <w:b/>
                <w:bCs/>
              </w:rPr>
              <w:t xml:space="preserve">FCF conversion</w:t>
            </w:r>
          </w:p>
        </w:tc>
        <w:tc>
          <w:tcPr>
            <w:tcW w:type="dxa" w:w="5800"/>
          </w:tcPr>
          <w:p>
            <w:r>
              <w:t xml:space="preserve">-48%</w:t>
            </w:r>
          </w:p>
        </w:tc>
      </w:tr>
      <w:tr>
        <w:tc>
          <w:tcPr>
            <w:tcW w:type="dxa" w:w="3200"/>
            <w:shd w:fill="F2F2F2" w:val="clear"/>
          </w:tcPr>
          <w:p>
            <w:r>
              <w:rPr>
                <w:b/>
                <w:bCs/>
              </w:rPr>
              <w:t xml:space="preserve">Margin trend</w:t>
            </w:r>
          </w:p>
        </w:tc>
        <w:tc>
          <w:tcPr>
            <w:tcW w:type="dxa" w:w="5800"/>
          </w:tcPr>
          <w:p>
            <w:r>
              <w:t xml:space="preserve">expanding</w:t>
            </w:r>
          </w:p>
        </w:tc>
      </w:tr>
      <w:tr>
        <w:tc>
          <w:tcPr>
            <w:tcW w:type="dxa" w:w="3200"/>
            <w:shd w:fill="F2F2F2" w:val="clear"/>
          </w:tcPr>
          <w:p>
            <w:r>
              <w:rPr>
                <w:b/>
                <w:bCs/>
              </w:rPr>
              <w:t xml:space="preserve">Capex efficiency</w:t>
            </w:r>
          </w:p>
        </w:tc>
        <w:tc>
          <w:tcPr>
            <w:tcW w:type="dxa" w:w="5800"/>
          </w:tcPr>
          <w:p>
            <w:r>
              <w:t xml:space="preserve">productive</w:t>
            </w:r>
          </w:p>
        </w:tc>
      </w:tr>
    </w:tbl>
    <w:p>
      <w:pPr>
        <w:spacing w:after="60" w:before="120"/>
      </w:pPr>
      <w:r>
        <w:rPr>
          <w:b/>
          <w:bCs/>
          <w:sz w:val="20"/>
          <w:szCs w:val="20"/>
        </w:rPr>
        <w:t xml:space="preserve">Track record (Coffee Can persistence check): </w:t>
      </w:r>
      <w:r>
        <w:rPr>
          <w:sz w:val="20"/>
          <w:szCs w:val="20"/>
        </w:rPr>
        <w:t xml:space="preserve">cleared revenue growth ≥10% AND ROCE ≥15% in 3 of the last 4 years (consistency_score 75)</w:t>
      </w:r>
    </w:p>
    <w:p>
      <w:pPr>
        <w:spacing w:after="120"/>
      </w:pPr>
      <w:r>
        <w:rPr>
          <w:color w:val="666666"/>
          <w:sz w:val="18"/>
          <w:szCs w:val="18"/>
        </w:rPr>
        <w:t xml:space="preserve">FY24 (+54%/28%), FY25 (+146%/45%) and FY26 (+116%, ROCE well above 15% on a 34% OPM) each cleared both filters; FY23 (+11%/7%) missed on ROCE. The record is a 3-year ALMM List-II policy super-cycle off a Rs 9 Cr FY23 PAT base, not a long history.</w:t>
      </w:r>
    </w:p>
    <w:p>
      <w:pPr>
        <w:pStyle w:val="Heading1"/>
        <w:spacing w:after="120" w:before="280"/>
      </w:pPr>
      <w:r>
        <w:t xml:space="preserve">Fundamentals-Gap Checks (shareholding · working capital · sector KPIs · scenario analysis)</w:t>
      </w:r>
    </w:p>
    <w:p>
      <w:pPr>
        <w:spacing w:after="120"/>
      </w:pPr>
      <w:r>
        <w:rPr>
          <w:i/>
          <w:iCs/>
          <w:color w:val="666666"/>
          <w:sz w:val="18"/>
          <w:szCs w:val="18"/>
        </w:rPr>
        <w:t xml:space="preserve">Extra fundamentals extracted from the same filings — informational only, not yet consumed by any scoring script.</w:t>
      </w:r>
    </w:p>
    <w:p>
      <w:pPr>
        <w:spacing w:after="120"/>
      </w:pPr>
      <w:r>
        <w:rPr>
          <w:b/>
          <w:bCs/>
          <w:sz w:val="20"/>
          <w:szCs w:val="20"/>
        </w:rPr>
        <w:t xml:space="preserve">Shareholding pattern: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Promoter %</w:t>
            </w:r>
          </w:p>
        </w:tc>
        <w:tc>
          <w:tcPr>
            <w:tcW w:type="dxa" w:w="5800"/>
          </w:tcPr>
          <w:p>
            <w:r>
              <w:t xml:space="preserve">80.03% (stable)</w:t>
            </w:r>
          </w:p>
        </w:tc>
      </w:tr>
      <w:tr>
        <w:tc>
          <w:tcPr>
            <w:tcW w:type="dxa" w:w="3200"/>
            <w:shd w:fill="F2F2F2" w:val="clear"/>
          </w:tcPr>
          <w:p>
            <w:r>
              <w:rPr>
                <w:b/>
                <w:bCs/>
              </w:rPr>
              <w:t xml:space="preserve">Pledge %</w:t>
            </w:r>
          </w:p>
        </w:tc>
        <w:tc>
          <w:tcPr>
            <w:tcW w:type="dxa" w:w="5800"/>
          </w:tcPr>
          <w:p>
            <w:r>
              <w:t xml:space="preserve">0% (stable)</w:t>
            </w:r>
          </w:p>
        </w:tc>
      </w:tr>
      <w:tr>
        <w:tc>
          <w:tcPr>
            <w:tcW w:type="dxa" w:w="3200"/>
            <w:shd w:fill="F2F2F2" w:val="clear"/>
          </w:tcPr>
          <w:p>
            <w:r>
              <w:rPr>
                <w:b/>
                <w:bCs/>
              </w:rPr>
              <w:t xml:space="preserve">FII/DII %</w:t>
            </w:r>
          </w:p>
        </w:tc>
        <w:tc>
          <w:tcPr>
            <w:tcW w:type="dxa" w:w="5800"/>
          </w:tcPr>
          <w:p>
            <w:r>
              <w:t xml:space="preserve">12.72% (rising)</w:t>
            </w:r>
          </w:p>
        </w:tc>
      </w:tr>
      <w:tr>
        <w:tc>
          <w:tcPr>
            <w:tcW w:type="dxa" w:w="3200"/>
            <w:shd w:fill="F2F2F2" w:val="clear"/>
          </w:tcPr>
          <w:p>
            <w:r>
              <w:rPr>
                <w:b/>
                <w:bCs/>
              </w:rPr>
              <w:t xml:space="preserve">Quarters checked</w:t>
            </w:r>
          </w:p>
        </w:tc>
        <w:tc>
          <w:tcPr>
            <w:tcW w:type="dxa" w:w="5800"/>
          </w:tcPr>
          <w:p>
            <w:r>
              <w:t xml:space="preserve">Q3FY26, Q4FY26, Q1FY27</w:t>
            </w:r>
          </w:p>
        </w:tc>
      </w:tr>
    </w:tbl>
    <w:p>
      <w:pPr>
        <w:spacing w:after="120"/>
      </w:pPr>
      <w:r>
        <w:rPr>
          <w:color w:val="666666"/>
          <w:sz w:val="18"/>
          <w:szCs w:val="18"/>
        </w:rPr>
        <w:t xml:space="preserve">Promoter holding steady at ~80% since the Nov-2025 listing; FII+DII combined stake has risen to ~12.7% by Q1 FY27 as institutional ownership builds post-IPO. No pledge disclosed.</w:t>
      </w:r>
    </w:p>
    <w:p>
      <w:pPr>
        <w:spacing w:after="120"/>
      </w:pPr>
      <w:r>
        <w:rPr>
          <w:b/>
          <w:bCs/>
          <w:sz w:val="20"/>
          <w:szCs w:val="20"/>
        </w:rPr>
        <w:t xml:space="preserve">Sector KPIs:</w:t>
      </w:r>
    </w:p>
    <w:p>
      <w:pPr>
        <w:pStyle w:val="ListParagraph"/>
        <w:numPr>
          <w:ilvl w:val="0"/>
          <w:numId w:val="1"/>
        </w:numPr>
        <w:spacing w:after="60"/>
      </w:pPr>
      <w:r>
        <w:t xml:space="preserve">Cell capacity utilisation: 83% Q1 FY27 (vs 68% Q1 FY26, 79% Q4 FY26) (improving)</w:t>
      </w:r>
    </w:p>
    <w:p>
      <w:pPr>
        <w:pStyle w:val="ListParagraph"/>
        <w:numPr>
          <w:ilvl w:val="0"/>
          <w:numId w:val="1"/>
        </w:numPr>
        <w:spacing w:after="60"/>
      </w:pPr>
      <w:r>
        <w:t xml:space="preserve">Module capacity utilisation: 45% Q1 FY27 (unclear) — module capacity is ~3.5x cell capacity; utilisation structurally lower until the 6 GW integrated line ramps</w:t>
      </w:r>
    </w:p>
    <w:p>
      <w:pPr>
        <w:pStyle w:val="ListParagraph"/>
        <w:numPr>
          <w:ilvl w:val="0"/>
          <w:numId w:val="1"/>
        </w:numPr>
        <w:spacing w:after="60"/>
      </w:pPr>
      <w:r>
        <w:t xml:space="preserve">Order book: 9.9 GW (all-time high); Q1 inflows 1.48 GW (improving)</w:t>
      </w:r>
    </w:p>
    <w:p>
      <w:pPr>
        <w:pStyle w:val="ListParagraph"/>
        <w:numPr>
          <w:ilvl w:val="0"/>
          <w:numId w:val="1"/>
        </w:numPr>
        <w:spacing w:after="60"/>
      </w:pPr>
      <w:r>
        <w:t xml:space="preserve">Repeat customer rate: 57% (stable)</w:t>
      </w:r>
    </w:p>
    <w:p>
      <w:pPr>
        <w:spacing w:after="120"/>
      </w:pPr>
      <w:r>
        <w:rPr>
          <w:b/>
          <w:bCs/>
          <w:sz w:val="20"/>
          <w:szCs w:val="20"/>
        </w:rPr>
        <w:t xml:space="preserve">Scenario analysis (closest to: bull):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Bull</w:t>
            </w:r>
          </w:p>
        </w:tc>
        <w:tc>
          <w:tcPr>
            <w:tcW w:type="dxa" w:w="5800"/>
          </w:tcPr>
          <w:p>
            <w:r>
              <w:t xml:space="preserve">rev CAGR 30%, FY28 margin 30%, FY28 EPS 20, exit 16x, implied price 320 (-2% vs CMP)</w:t>
            </w:r>
          </w:p>
        </w:tc>
      </w:tr>
      <w:tr>
        <w:tc>
          <w:tcPr>
            <w:tcW w:type="dxa" w:w="3200"/>
            <w:shd w:fill="F2F2F2" w:val="clear"/>
          </w:tcPr>
          <w:p>
            <w:r>
              <w:rPr>
                <w:b/>
                <w:bCs/>
              </w:rPr>
              <w:t xml:space="preserve">Base</w:t>
            </w:r>
          </w:p>
        </w:tc>
        <w:tc>
          <w:tcPr>
            <w:tcW w:type="dxa" w:w="5800"/>
          </w:tcPr>
          <w:p>
            <w:r>
              <w:t xml:space="preserve">rev CAGR 20%, FY28 margin 20%, FY28 EPS 14, exit 14x, implied price 196 (-40% vs CMP)</w:t>
            </w:r>
          </w:p>
        </w:tc>
      </w:tr>
      <w:tr>
        <w:tc>
          <w:tcPr>
            <w:tcW w:type="dxa" w:w="3200"/>
            <w:shd w:fill="F2F2F2" w:val="clear"/>
          </w:tcPr>
          <w:p>
            <w:r>
              <w:rPr>
                <w:b/>
                <w:bCs/>
              </w:rPr>
              <w:t xml:space="preserve">Bear</w:t>
            </w:r>
          </w:p>
        </w:tc>
        <w:tc>
          <w:tcPr>
            <w:tcW w:type="dxa" w:w="5800"/>
          </w:tcPr>
          <w:p>
            <w:r>
              <w:t xml:space="preserve">rev CAGR 10%, FY28 margin 14%, FY28 EPS 8, exit 10x, implied price 80 (-76% vs CMP)</w:t>
            </w:r>
          </w:p>
        </w:tc>
      </w:tr>
    </w:tbl>
    <w:p>
      <w:pPr>
        <w:spacing w:after="120"/>
      </w:pPr>
      <w:r>
        <w:rPr>
          <w:color w:val="666666"/>
          <w:sz w:val="18"/>
          <w:szCs w:val="18"/>
        </w:rPr>
        <w:t xml:space="preserve">CMP (~Rs 328) already sits near the bull case, which itself assumes EBITDA margins stay near 30% through FY28 -- close to today's peak, not the 'high-teens ROCE through-cycle' even Jefferies' own bull case models. The base case (industry-wide capacity build normalising margins) implies ~40% downside; bear (faster commoditisation) implies far more. Matches market_expectation's 'over-optimistic' gap_direction.</w:t>
      </w:r>
    </w:p>
    <w:p>
      <w:pPr>
        <w:pStyle w:val="Heading1"/>
        <w:spacing w:after="120" w:before="280"/>
      </w:pPr>
      <w:r>
        <w:t xml:space="preserve">Technical Read (Weekly / Monthly MACD + Bollinger Bands, or RSI/CCI/Williams %R proxy)</w:t>
      </w:r>
    </w:p>
    <w:p>
      <w:pPr>
        <w:spacing w:after="120"/>
      </w:pPr>
      <w:r>
        <w:t xml:space="preserve">Not pulled. Listed Nov 2025; has traded well above the ~Rs 217 issue price, currently ~Rs 328.</w:t>
      </w:r>
    </w:p>
    <w:p>
      <w:pPr>
        <w:pStyle w:val="Heading1"/>
        <w:spacing w:after="120" w:before="280"/>
      </w:pPr>
      <w:r>
        <w:t xml:space="preserve">ValuePickr Community Signal</w:t>
      </w:r>
    </w:p>
    <w:p>
      <w:pPr>
        <w:spacing w:after="120"/>
      </w:pPr>
      <w:r>
        <w:t xml:space="preserve">The dedicated ValuePickr thread ('...Riding India's Domestic Cell Push', topic 224108) was opened on 2026-09-04 and has a single introductory write-up by Praveen_George (not on the trusted roster) laying out the ALMM-driven earnings story; a second thread (topic 220040) has ~4 posts. There is no community track record, no disagreement thread, and no trusted-user engagement yet — the forum read here is effectively a placeholder.</w:t>
      </w:r>
    </w:p>
    <w:p>
      <w:pPr>
        <w:spacing w:after="120"/>
      </w:pPr>
      <w:r>
        <w:rPr>
          <w:b/>
          <w:bCs/>
          <w:sz w:val="20"/>
          <w:szCs w:val="20"/>
        </w:rPr>
        <w:t xml:space="preserve">High-conviction call from a top contributor: </w:t>
      </w:r>
      <w:r>
        <w:rPr>
          <w:sz w:val="20"/>
          <w:szCs w:val="20"/>
        </w:rPr>
        <w:t xml:space="preserve">None. No trusted-user calls; the VP thread is a day old with one post. Assessment rests on filings, concall data and sell-side notes.</w:t>
      </w:r>
    </w:p>
    <w:p>
      <w:pPr>
        <w:pStyle w:val="Heading1"/>
        <w:spacing w:after="120" w:before="280"/>
      </w:pPr>
      <w:r>
        <w:t xml:space="preserve">BSE Corporate Actions / Other Red Flags</w:t>
      </w:r>
    </w:p>
    <w:p>
      <w:pPr>
        <w:spacing w:after="120"/>
      </w:pPr>
      <w:r>
        <w:t xml:space="preserve">No SEBI/fraud order; no going-concern issue (net-cash, debt down to ~Rs 360 Cr, D/E far below 0.1). ICRA upgraded the long-term rating post-IPO. The one blemish found this pass is an immaterial Rs ~7.68 Cr customs penalty (duty-benefit classification dispute, Mar-2026). The material 'watch' remains earnings quality, not governance: reported margins and ROE are at a policy-driven cyclical peak.</w:t>
      </w:r>
    </w:p>
    <w:p>
      <w:pPr>
        <w:pStyle w:val="Heading1"/>
        <w:spacing w:after="120" w:before="280"/>
      </w:pPr>
      <w:r>
        <w:t xml:space="preserve">Bull Case</w:t>
      </w:r>
    </w:p>
    <w:p>
      <w:pPr>
        <w:pStyle w:val="ListParagraph"/>
        <w:numPr>
          <w:ilvl w:val="0"/>
          <w:numId w:val="1"/>
        </w:numPr>
        <w:spacing w:after="60"/>
      </w:pPr>
      <w:r>
        <w:t xml:space="preserve">ALMM List-II / DCR / PLI create a protected, multi-GW domestic demand pool that only listed-and-approved integrated cell makers can serve; Emmvee is one of the few already built for it</w:t>
      </w:r>
    </w:p>
    <w:p>
      <w:pPr>
        <w:pStyle w:val="ListParagraph"/>
        <w:numPr>
          <w:ilvl w:val="0"/>
          <w:numId w:val="1"/>
        </w:numPr>
        <w:spacing w:after="60"/>
      </w:pPr>
      <w:r>
        <w:t xml:space="preserve">Explosive, real growth: PAT Rs 9 Cr -&gt; Rs 1,082 Cr in 3 years; Q1 FY27 revenue +51%, PAT +103%; 9.9 GW order book; 57% repeat customers</w:t>
      </w:r>
    </w:p>
    <w:p>
      <w:pPr>
        <w:pStyle w:val="ListParagraph"/>
        <w:numPr>
          <w:ilvl w:val="0"/>
          <w:numId w:val="1"/>
        </w:numPr>
        <w:spacing w:after="60"/>
      </w:pPr>
      <w:r>
        <w:t xml:space="preserve">Deleveraging already executed, not just promised — debt down ~83% in FY26, credit rating upgraded to ICRA A, interest coverage ~8.2x</w:t>
      </w:r>
    </w:p>
    <w:p>
      <w:pPr>
        <w:pStyle w:val="ListParagraph"/>
        <w:numPr>
          <w:ilvl w:val="0"/>
          <w:numId w:val="1"/>
        </w:numPr>
        <w:spacing w:after="60"/>
      </w:pPr>
      <w:r>
        <w:t xml:space="preserve">Growth diversified across live capacity (2.5 GW module line since Dec-2025) + a new 4.5 GWp cell supply order + the 6 GW facility under construction, not resting on one promise</w:t>
      </w:r>
    </w:p>
    <w:p>
      <w:pPr>
        <w:pStyle w:val="ListParagraph"/>
        <w:numPr>
          <w:ilvl w:val="0"/>
          <w:numId w:val="1"/>
        </w:numPr>
        <w:spacing w:after="60"/>
      </w:pPr>
      <w:r>
        <w:t xml:space="preserve">Capacity +~60% by early FY28 with the order book to fill it; net-cash-like balance sheet, ~50%+ ROE</w:t>
      </w:r>
    </w:p>
    <w:p>
      <w:pPr>
        <w:pStyle w:val="ListParagraph"/>
        <w:numPr>
          <w:ilvl w:val="0"/>
          <w:numId w:val="1"/>
        </w:numPr>
        <w:spacing w:after="60"/>
      </w:pPr>
      <w:r>
        <w:t xml:space="preserve">~18x optical P/E is low for the headline growth rate; Jefferies models 33% EBITDA CAGR to FY29</w:t>
      </w:r>
    </w:p>
    <w:p>
      <w:pPr>
        <w:pStyle w:val="Heading1"/>
        <w:spacing w:after="120" w:before="280"/>
      </w:pPr>
      <w:r>
        <w:t xml:space="preserve">Bear Case / Key Risks</w:t>
      </w:r>
    </w:p>
    <w:p>
      <w:pPr>
        <w:pStyle w:val="ListParagraph"/>
        <w:numPr>
          <w:ilvl w:val="0"/>
          <w:numId w:val="1"/>
        </w:numPr>
        <w:spacing w:after="60"/>
      </w:pPr>
      <w:r>
        <w:t xml:space="preserve">Earnings quality: 35% EBITDA / 24% PAT margins are a domestic-content super-cycle peak — solar cell/module making is globally the most commoditised, cyclical hardware business there is</w:t>
      </w:r>
    </w:p>
    <w:p>
      <w:pPr>
        <w:pStyle w:val="ListParagraph"/>
        <w:numPr>
          <w:ilvl w:val="0"/>
          <w:numId w:val="1"/>
        </w:numPr>
        <w:spacing w:after="60"/>
      </w:pPr>
      <w:r>
        <w:t xml:space="preserve">Industry-wide capacity build (Waaree, Premier Energies, Adani, ReNew, Tata Power, Websol...) — supply-side is 'adding', the classic late-cycle glut setup; Jefferies itself models 151 GW of cell and 217 GW of module capacity in India by FY28E, exceeding demand</w:t>
      </w:r>
    </w:p>
    <w:p>
      <w:pPr>
        <w:pStyle w:val="ListParagraph"/>
        <w:numPr>
          <w:ilvl w:val="0"/>
          <w:numId w:val="1"/>
        </w:numPr>
        <w:spacing w:after="60"/>
      </w:pPr>
      <w:r>
        <w:t xml:space="preserve">Even the bullish sell-side case explicitly models margin normalisation to 'high-teens ROCE through-cycle' — the debate is the SIZE of the earnings de-rating, not whether it happens</w:t>
      </w:r>
    </w:p>
    <w:p>
      <w:pPr>
        <w:pStyle w:val="ListParagraph"/>
        <w:numPr>
          <w:ilvl w:val="0"/>
          <w:numId w:val="1"/>
        </w:numPr>
        <w:spacing w:after="60"/>
      </w:pPr>
      <w:r>
        <w:t xml:space="preserve">No moat beyond being early + on the ALMM list — TOPCon is a widely-licensed technology, and the policy protection can be diluted as capacity comes online</w:t>
      </w:r>
    </w:p>
    <w:p>
      <w:pPr>
        <w:pStyle w:val="ListParagraph"/>
        <w:numPr>
          <w:ilvl w:val="0"/>
          <w:numId w:val="1"/>
        </w:numPr>
        <w:spacing w:after="60"/>
      </w:pPr>
      <w:r>
        <w:t xml:space="preserve">Realistic base case is ~2-3x if margins hold and meaningfully negative if they don't; the ~18x P/E flatters a peak number</w:t>
      </w:r>
    </w:p>
    <w:p>
      <w:pPr>
        <w:pStyle w:val="ListParagraph"/>
        <w:numPr>
          <w:ilvl w:val="0"/>
          <w:numId w:val="1"/>
        </w:numPr>
        <w:spacing w:after="60"/>
      </w:pPr>
      <w:r>
        <w:t xml:space="preserve">External lead from an untrusted X handle (@AnirbanManna10); no VP community validation</w:t>
      </w:r>
    </w:p>
    <w:p>
      <w:pPr>
        <w:pStyle w:val="Heading1"/>
        <w:spacing w:after="120" w:before="280"/>
      </w:pPr>
      <w:r>
        <w:t xml:space="preserve">Market-Cap Tier (informational — not a gate in this project)</w:t>
      </w:r>
    </w:p>
    <w:p>
      <w:pPr>
        <w:spacing w:after="120"/>
      </w:pPr>
      <w:r>
        <w:rPr>
          <w:b/>
          <w:bCs/>
        </w:rPr>
        <w:t xml:space="preserve">Mid-cap (~Rs 22,000-23,400 Cr)</w:t>
      </w:r>
    </w:p>
    <w:p>
      <w:pPr>
        <w:pStyle w:val="Heading1"/>
        <w:spacing w:after="120" w:before="280"/>
      </w:pPr>
      <w:r>
        <w:t xml:space="preserve">Thesis Fit</w:t>
      </w:r>
    </w:p>
    <w:p>
      <w:pPr>
        <w:spacing w:after="120"/>
      </w:pPr>
      <w:r>
        <w:rPr>
          <w:b/>
          <w:bCs/>
          <w:sz w:val="24"/>
          <w:szCs w:val="24"/>
        </w:rPr>
        <w:t xml:space="preserve">neither</w:t>
      </w:r>
    </w:p>
    <w:p>
      <w:pPr>
        <w:spacing w:after="120"/>
      </w:pPr>
      <w:r>
        <w:rPr>
          <w:color w:val="666666"/>
          <w:sz w:val="20"/>
          <w:szCs w:val="20"/>
        </w:rPr>
        <w:t xml:space="preserve">4-box gate — tailwind: yes · TAM: weak · moat: weak · valuation: weak  (score 2.5 / 4)</w:t>
      </w:r>
    </w:p>
    <w:p>
      <w:pPr>
        <w:spacing w:after="120"/>
      </w:pPr>
      <w:r>
        <w:rPr>
          <w:i/>
          <w:iCs/>
          <w:color w:val="666666"/>
          <w:sz w:val="20"/>
          <w:szCs w:val="20"/>
        </w:rPr>
        <w:t xml:space="preserve">tailwind yes (multi-year India solar build + domestic-content policy). tam weak (huge volume TAM, but the profit pool erodes as capacity is added). moat weak (early + ALMM-listed, but TOPCon is licensed tech and every major is integrating). valuation weak (~18x optical P/E is on peak-cycle margins; even the sell-side bull case needs high-teens ROCE, well below today's, to justify the multiple long-term). Score 2.5 -- unchanged by the deep dive; new evidence (order book, executed deleveraging, a second broker-corroborated view) strengthens confidence in the read rather than moving the boxes.</w:t>
      </w:r>
    </w:p>
    <w:p>
      <w:pPr>
        <w:pStyle w:val="Heading1"/>
        <w:spacing w:after="120" w:before="280"/>
      </w:pPr>
      <w:r>
        <w:t xml:space="preserve">Verdict</w:t>
      </w:r>
    </w:p>
    <w:p>
      <w:pPr>
        <w:spacing w:after="120"/>
      </w:pPr>
      <w:r>
        <w:rPr>
          <w:b/>
          <w:bCs/>
          <w:sz w:val="24"/>
          <w:szCs w:val="24"/>
        </w:rPr>
        <w:t xml:space="preserve">Real, well-executed growth and deleveraging story, but a first deep dive confirms rather than resolves the core risk: even bulls (Jefferies) model margin normalisation as an industry-wide capacity build catches up to ALMM-protected demand. four_box stays at 2.5, thesis 'neither', conviction 'Medium'.</w:t>
      </w:r>
    </w:p>
    <w:p>
      <w:pPr>
        <w:pStyle w:val="ListParagraph"/>
        <w:numPr>
          <w:ilvl w:val="0"/>
          <w:numId w:val="1"/>
        </w:numPr>
        <w:spacing w:after="60"/>
      </w:pPr>
      <w:r>
        <w:t xml:space="preserve">External-lead (tier 4.5) from untrusted X handle @AnirbanManna10 ('can compound PAT 50%+ CAGR absent overcapacity' — note the conditional). four_box score 2.5; the phreak un-ignorable-growth exception was available (PAT 120x in 3 years, Q1 FY27 PAT +103%, 9.9 GW order book, capacity +60% by FY28) and was explicitly CONSIDERED — but declined, because the earnings base is a policy-driven cyclical peak (peak_margin_risk) into an industry-wide integrated-cell capacity build (value-chain supply-side 'adding' = glut risk). Growth that rests on a super-cycle margin is not durable enough to underwrite a 10x. thesis_fit 'neither'.</w:t>
      </w:r>
    </w:p>
    <w:p>
      <w:pPr>
        <w:pStyle w:val="ListParagraph"/>
        <w:numPr>
          <w:ilvl w:val="0"/>
          <w:numId w:val="1"/>
        </w:numPr>
        <w:spacing w:after="60"/>
      </w:pPr>
      <w:r>
        <w:t xml:space="preserve">Deep dive (pass 1) corroborates rather than overturns this: deleveraging is already executed (not promised) and growth is evidenced across three independent threads (live 2.5 GW module line, 9.9 GW order book, new 4.5 GWp cell supply deal) — but the Street's own bull case (Jefferies, Buy, Rs 440 target) still explicitly models margin normalisation to high-teens ROCE through-cycle, which is the same thesis this file already held. No new red flag; the one governance blemish found (a small Rs ~7.68 Cr customs penalty) is immaterial.</w:t>
      </w:r>
    </w:p>
    <w:p>
      <w:pPr>
        <w:pStyle w:val="ListParagraph"/>
        <w:numPr>
          <w:ilvl w:val="0"/>
          <w:numId w:val="1"/>
        </w:numPr>
        <w:spacing w:after="60"/>
      </w:pPr>
      <w:r>
        <w:t xml:space="preserve">Conviction Medium (unchanged pre -&gt; post): this is a genuine, well-run, low-debt business with real demand and a raised capacity plan — clearly worth tracking — but no moat and a commoditising, cyclical profit pool keep it out of the multi-bagger bucket. Realistic case ~2-3x if margins hold.</w:t>
      </w:r>
    </w:p>
    <w:p>
      <w:pPr>
        <w:pStyle w:val="ListParagraph"/>
        <w:numPr>
          <w:ilvl w:val="0"/>
          <w:numId w:val="1"/>
        </w:numPr>
        <w:spacing w:after="60"/>
      </w:pPr>
      <w:r>
        <w:t xml:space="preserve">No live-theme match (no standalone 'solar manufacturing' theme in active_themes.json). value_chain seeded. No red flag. revisit_after_30d false by rule (conviction Medium, thesis_fit neither); re-check specifically after the Q2/Q3 FY27 margin prints, the 6 GW facility's Dec-2026/Mar-2027 commissioning milestones, and any sign of module/cell price softening as new domestic capacity commissions.</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p/>
    <w:p>
      <w:r>
        <w:rPr>
          <w:b/>
          <w:sz w:val="28"/>
        </w:rPr>
        <w:t>🔄 RESEARCH UPDATE - 2026-10-05</w:t>
      </w:r>
    </w:p>
    <w:p>
      <w:r>
        <w:rPr>
          <w:b/>
        </w:rPr>
        <w:t>📊 Key Metrics:</w:t>
      </w:r>
    </w:p>
    <w:p>
      <w:pPr>
        <w:ind w:left="360"/>
      </w:pPr>
      <w:r>
        <w:t xml:space="preserve">  • Company: Emmvee Photovoltaic Power Limited</w:t>
      </w:r>
    </w:p>
    <w:p>
      <w:pPr>
        <w:ind w:left="360"/>
      </w:pPr>
      <w:r>
        <w:t xml:space="preserve">  • Conviction: High</w:t>
      </w:r>
    </w:p>
    <w:p>
      <w:pPr>
        <w:ind w:left="360"/>
      </w:pPr>
      <w:r>
        <w:t xml:space="preserve">  • Thesis: 10x-in-2-3-years</w:t>
      </w:r>
    </w:p>
    <w:p>
      <w:pPr>
        <w:ind w:left="360"/>
      </w:pPr>
      <w:r>
        <w:t xml:space="preserve">  • 4-Box Score: 3.5</w:t>
      </w:r>
    </w:p>
    <w:p>
      <w:pPr>
        <w:ind w:left="360"/>
      </w:pPr>
      <w:r>
        <w:t xml:space="preserve">  • Research Date: 2026-10-05</w:t>
      </w:r>
    </w:p>
    <w:p>
      <w:pPr>
        <w:ind w:left="360"/>
      </w:pPr>
      <w:r>
        <w:t xml:space="preserve">  • Red Flag: None</w:t>
      </w:r>
    </w:p>
    <w:p/>
    <w:p>
      <w:r>
        <w:rPr>
          <w:b/>
        </w:rPr>
        <w:t>📝 Verdict:</w:t>
      </w:r>
    </w:p>
    <w:p>
      <w:pPr>
        <w:ind w:left="360"/>
      </w:pPr>
      <w:r>
        <w:t>Exceptional quality and growth, but working capital deterioration and elevated leverage signal execution risk during scale-up; value emerges if cash flow normalizes and debt continues de-risk</w:t>
      </w:r>
    </w:p>
    <w:p/>
    <w:p>
      <w:r>
        <w:rPr>
          <w:b/>
        </w:rPr>
        <w:t>📈 Bull Case:</w:t>
      </w:r>
    </w:p>
    <w:p>
      <w:pPr>
        <w:ind w:left="360"/>
      </w:pPr>
      <w:r>
        <w:t>Decadal secular tailwind: India solar target of 500 GW by 2030; domestic manufacturing capacity rapidly expanding due to PLI and tariff protection</w:t>
      </w:r>
    </w:p>
    <w:p>
      <w:pPr>
        <w:ind w:left="360"/>
      </w:pPr>
      <w:r>
        <w:t>Exceptional unit economics: ROCE 44.6%, ROE 50.7% (among the best in Indian markets); capital-light model scales well</w:t>
      </w:r>
    </w:p>
    <w:p>
      <w:pPr>
        <w:ind w:left="360"/>
      </w:pPr>
      <w:r>
        <w:t>Scale efficiency: As manufacturing matures and order book visibility extends, FCF should normalize and leverage should continue to de-risk</w:t>
      </w:r>
    </w:p>
    <w:p>
      <w:pPr>
        <w:ind w:left="360"/>
      </w:pPr>
      <w:r>
        <w:t>Supply chain advantage: Integrated cell+module manufacturing reduces reliance on Chinese imports and provides cost/supply security</w:t>
      </w:r>
    </w:p>
    <w:p>
      <w:pPr>
        <w:ind w:left="360"/>
      </w:pPr>
      <w:r>
        <w:t>Valuation attractive: P/E 16.6x for 80%+ profit growth is a 2-3x discount to Nifty 50 on growth rate; if profit growth sustains 30%+ CAGR, stock could re-rate to 20-25x</w:t>
      </w:r>
    </w:p>
    <w:p/>
    <w:p>
      <w:r>
        <w:rPr>
          <w:b/>
        </w:rPr>
        <w:t>📉 Bear Case:</w:t>
      </w:r>
    </w:p>
    <w:p>
      <w:pPr>
        <w:ind w:left="360"/>
      </w:pPr>
      <w:r>
        <w:t>Working capital drain: CCC extended from 136 to 159 days; FCF deeply negative (-Rs 440 Cr FY26) despite PAT Rs 1,082 Cr; scale-up is consuming cash faster than profits are being generated</w:t>
      </w:r>
    </w:p>
    <w:p>
      <w:pPr>
        <w:ind w:left="360"/>
      </w:pPr>
      <w:r>
        <w:t>Inventory buildup: 225 days (up from 197) suggests either demand uncertainty (over-ordering) or supply chain lag (pipeline pre-positioning); both pose downside risk if order book softens</w:t>
      </w:r>
    </w:p>
    <w:p>
      <w:pPr>
        <w:ind w:left="360"/>
      </w:pPr>
      <w:r>
        <w:t>Debtor days extended: 50 days (up from 30) indicates extended customer payment terms or weaker customer credit; may signal shift to lower-credit customers</w:t>
      </w:r>
    </w:p>
    <w:p>
      <w:pPr>
        <w:ind w:left="360"/>
      </w:pPr>
      <w:r>
        <w:t>Leverage still elevated: Net debt Rs 360 Cr (on equity base Rs 3,694 Cr) is ~10% of market cap; if cash burn continues, leverage could tick back up</w:t>
      </w:r>
    </w:p>
    <w:p>
      <w:pPr>
        <w:ind w:left="360"/>
      </w:pPr>
      <w:r>
        <w:t>Execution risk: PLI incentives are competitive; if capacity expansion exceeds demand, pricing could compress and profitability could face headwinds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2026-09-18T04:38:05.997Z</dcterms:created>
  <dcterms:modified xsi:type="dcterms:W3CDTF">2026-09-18T04:38:06.001Z</dcterms:modified>
</cp:coreProperties>
</file>

<file path=docProps/custom.xml><?xml version="1.0" encoding="utf-8"?>
<Properties xmlns="http://schemas.openxmlformats.org/officeDocument/2006/custom-properties" xmlns:vt="http://schemas.openxmlformats.org/officeDocument/2006/docPropsVTypes"/>
</file>