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Engineers India Ltd (EIL)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PSU hydrocarbon-EPC/consultancy major riding a record order book (~Rs 15,109 Cr, +29% YoY) and a Green Hydrogen mandate, but a large-cap with a poor 4.55% 5-yr revenue CAGR - a real named inflection, not a 10x/100x case.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Engineers India Ltd (EIL, NSE: ENGINERSIN) is a Govt-of-India PSU providing engineering consultancy and EPC/LSTK execution to the hydrocarbon sector (refineries, petrochemicals, pipelines) plus emerging Green Hydrogen/CGD/fertiliser mandates, serving PSU majors (IOC, BPCL, HPCL, ONGC) domestically and international clients (incl. Dangote in Nigeria). Seeded via untrusted X triage (@saditya10p, 2026-09-13). Large-cap (~Rs 15,116 Cr) - fast triage per protocol.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15,116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~21.7%, ROCE ~24.0%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4.55% over past 5 years; FY27 guided 10-15%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15,109 Cr, +29% YoY (record); FY27 inflow guidance ~Rs 8,000 Cr (~Rs 2,750 Cr YTD)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163.55 - Rs 267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~39.1%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near-term inflection is visible: record order book (+29% YoY) led by consultancy wins (~Rs 6,010 Cr) and large overseas contracts (Dangote), management retaining ~Rs 8,000 Cr FY27 order-inflow guidance, and an explicit Green Hydrogen push (25+ years of Hydrogen/Ammonia unit experience being redeployed for refinery/fertiliser/CGD/steel green-hydrogen assignments) aligned to GoI policy. Return ratios are strong (ROE ~21.7%, ROCE ~24%) and the balance sheet is almost debt-free. The offsetting caution: this is a feast-famine, order-book-driven consultancy/EPC business that has delivered only ~4.55% revenue CAGR over the past five years - the current order book is a real catalyst, not evidence of a structurally re-rated growth rate.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well off its 52-week high (~Rs 267), nearer the middle of the ~Rs 163.55-267 range - not pulled in detail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fast-triage protocol). Broker commentary (ICICI Direct, Prabhudas Lilladher) is constructive, citing consultancy momentum and global expansion.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(large-cap fast triage).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surfaced. PSU with almost-debt-free balance sheet and healthy dividend payout.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order book (~Rs 15,109 Cr, +29% YoY) with ~73% consultancy mix, targeted at ~55% of FY27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Green Hydrogen mandate leveraging decades of Hydrogen/Ammonia engineering experience, aligned to GoI policy push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return ratios (ROE ~21.7%, ROCE ~24%) and an almost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Overseas diversification (Dangote, Nigeria) reduces pure domestic-PSU-capex dependence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5-year revenue CAGR (4.55%) - the current order book is a cyclical upswing, not a demonstrated structural growth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PSU order-book business is inherently lumpy (feast-famine); execution/margin risk on large LSTK contracts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PSU - limited scope for a 10x/100x return profile regardless of the current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Dependent on domestic hydrocarbon capex cycle (refinery/CGD expansions) which is itself policy- and oil-price-sensitive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15,100 Cr) - PSU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Named inflection overrides the large-cap tam:no default: record order book (+29% YoY), Rs 8,000 Cr FY27 inflow guidance, Green Hydrogen mandate, Dangote overseas win. Valuation weak given poor 4.55% 5-yr revenue CAGR despite strong current-year order book.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PSU EPC/consultancy with a genuine named inflection (record order book, Green Hydrogen mandate, Dangote overseas win) but a poor 5-yr growth track record and inherent large-cap/PSU return ceiling -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15,116 Cr): per protocol, tam defaults 'no' unless a specific named inflection is found. One was found - record +29% YoY order book, explicit FY27 order-inflow guidance, and a named Green Hydrogen initiative - so tam is scored 'yes' (analyst_override).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tailwind yes, tam yes (override), moat yes (PSU incumbency with ONGC/IOC/BPCL/HPCL, deep hydrocarbon engineering know-how), valuation weak (poor 5-yr revenue CAGR despite strong near-term order book) -&gt; score 3.5.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with a real inflection and a score that would permit a 10x/100x label at small/mid-cap, large-cap PSU EPC businesses are outside the return-magnitude bracket this screen targets - thesis_fit kept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raised to Medium (above the large-cap-no-inflection Low-Medium ceiling) given the genuine, named, multi-pronged catalyst set; no forum deep-dive performed per fast-triage protocol.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Engineers India Ltd (EIL)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3.5</w:t>
      </w:r>
    </w:p>
    <w:p>
      <w:pPr>
        <w:ind w:left="360"/>
      </w:pPr>
      <w:r>
        <w:t xml:space="preserve">  • Research Date: 2026-09-28</w:t>
      </w:r>
    </w:p>
    <w:p>
      <w:pPr>
        <w:ind w:left="360"/>
      </w:pPr>
      <w:r>
        <w:t xml:space="preserve">  • Red Flag: CLEAR</w:t>
      </w:r>
    </w:p>
    <w:p/>
    <w:p>
      <w:r>
        <w:rPr>
          <w:b/>
        </w:rPr>
        <w:t>📝 Verdict:</w:t>
      </w:r>
    </w:p>
    <w:p>
      <w:pPr>
        <w:ind w:left="360"/>
      </w:pPr>
      <w:r>
        <w:t>Government-backed EPC provider with structural margin-expansion story and capex-cycle tailwinds</w:t>
      </w:r>
    </w:p>
    <w:p/>
    <w:p>
      <w:r>
        <w:rPr>
          <w:b/>
        </w:rPr>
        <w:t>📈 Bull Case:</w:t>
      </w:r>
    </w:p>
    <w:p>
      <w:pPr>
        <w:ind w:left="360"/>
      </w:pPr>
      <w:r>
        <w:t>FY26 PAT of Rs 638 Cr is the highest ever, demonstrating both growth and margin expansion (PAT +37%, margins +146 bps). Q1 FY27 suggests momentum is continuing.</w:t>
      </w:r>
    </w:p>
    <w:p>
      <w:pPr>
        <w:ind w:left="360"/>
      </w:pPr>
      <w:r>
        <w:t>Structural shift in business mix toward consultancy (higher-margin 24.9% vs LSTK 7.5%) is driving operating leverage. This is not cyclical but reflects client preferences post-COVID.</w:t>
      </w:r>
    </w:p>
    <w:p>
      <w:pPr>
        <w:ind w:left="360"/>
      </w:pPr>
      <w:r>
        <w:t>Government of India's capex roadmap (highways, rail, power transmission, petroleum refining) directly benefits EIL. The company has won orders worth substantial backlogs (specific numbers pending quarterly disclosure).</w:t>
      </w:r>
    </w:p>
    <w:p>
      <w:pPr>
        <w:ind w:left="360"/>
      </w:pPr>
      <w:r>
        <w:t>Capex requirements for EIL are minimal (asset-light model); cash generation is therefore high-quality and available for dividend/buyback/shareholder returns.</w:t>
      </w:r>
    </w:p>
    <w:p>
      <w:pPr>
        <w:ind w:left="360"/>
      </w:pPr>
      <w:r>
        <w:t>Government ownership (~90%) provides structural stability and preferred-vendor status in all major PSU and government tenders (IOCL, NTPC, GAIL, etc.).</w:t>
      </w:r>
    </w:p>
    <w:p/>
    <w:p>
      <w:r>
        <w:rPr>
          <w:b/>
        </w:rPr>
        <w:t>📉 Bear Case:</w:t>
      </w:r>
    </w:p>
    <w:p>
      <w:pPr>
        <w:ind w:left="360"/>
      </w:pPr>
      <w:r>
        <w:t>Execution risk on large-scale turnkey projects. While track record is strong (400+ projects), any major project delay or cost overrun would impact earnings credibility and forward order intake.</w:t>
      </w:r>
    </w:p>
    <w:p>
      <w:pPr>
        <w:ind w:left="360"/>
      </w:pPr>
      <w:r>
        <w:t>Competition from private-sector engineering firms (e.g., L&amp;T, Technip, Wood) on international projects. EIL's international footprint is smaller relative to these players.</w:t>
      </w:r>
    </w:p>
    <w:p>
      <w:pPr>
        <w:ind w:left="360"/>
      </w:pPr>
      <w:r>
        <w:t>Government divestment over time may dilute the 'preferred vendor' premium if ownership falls below a certain threshold (currently ~90%).</w:t>
      </w:r>
    </w:p>
    <w:p>
      <w:pPr>
        <w:ind w:left="360"/>
      </w:pPr>
      <w:r>
        <w:t>Margin sustainability: the 24.9% consultancy margin may compress if market share battles intensify or if client mix shifts back toward lower-margin LSTK work.</w:t>
      </w:r>
    </w:p>
    <w:p>
      <w:pPr>
        <w:ind w:left="360"/>
      </w:pPr>
      <w:r>
        <w:t>Commodity cycles (oil, gas) drive client spending; a sustained downturn in energy prices would suppress refinery/petrochemical capex.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2026-09-16T02:42:58.440Z</dcterms:created>
  <dcterms:modified xsi:type="dcterms:W3CDTF">2026-09-16T02:42:58.445Z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